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50F8" w14:textId="77777777" w:rsidR="009D43BF" w:rsidRDefault="00D142A0" w:rsidP="009D43BF">
      <w:pPr>
        <w:pStyle w:val="Titre"/>
      </w:pPr>
      <w:r>
        <w:t xml:space="preserve">La Cavimac : </w:t>
      </w:r>
    </w:p>
    <w:p w14:paraId="510F8631" w14:textId="44DB0F75" w:rsidR="00AC4AA1" w:rsidRDefault="00D142A0" w:rsidP="009D43BF">
      <w:pPr>
        <w:pStyle w:val="Titre"/>
      </w:pPr>
      <w:r>
        <w:t>une Caisse</w:t>
      </w:r>
      <w:r w:rsidR="00BD5FD5">
        <w:t xml:space="preserve"> de sécurité sociale</w:t>
      </w:r>
      <w:r>
        <w:t xml:space="preserve"> si particulière</w:t>
      </w:r>
    </w:p>
    <w:p w14:paraId="7AE39643" w14:textId="7C93888D" w:rsidR="005C4A33" w:rsidRPr="005C4A33" w:rsidRDefault="005C4A33" w:rsidP="005C4A33">
      <w:pPr>
        <w:pStyle w:val="Paragrretrait1"/>
      </w:pPr>
      <w:r>
        <w:t>La généralisation de la sécurité sociale aux religieux, par le biais du régime Cavimac, a été, dans les faits, la détermination d’un droit civil par les règles religieuses définies par les cultes (en réalité le culte catholique).</w:t>
      </w:r>
    </w:p>
    <w:p w14:paraId="4C4B1D3C" w14:textId="4F974FF7" w:rsidR="00CC46FA" w:rsidRPr="00CC46FA" w:rsidRDefault="00CC46FA" w:rsidP="00F73C53">
      <w:pPr>
        <w:pStyle w:val="Titre1"/>
      </w:pPr>
      <w:r w:rsidRPr="00CC46FA">
        <w:t xml:space="preserve">Du refus </w:t>
      </w:r>
      <w:r w:rsidR="000E62E2">
        <w:t xml:space="preserve">de la sécurité sociale </w:t>
      </w:r>
      <w:r w:rsidRPr="00CC46FA">
        <w:t>au régime des cultes</w:t>
      </w:r>
    </w:p>
    <w:p w14:paraId="5EDAB5F5" w14:textId="25EE915B" w:rsidR="00D142A0" w:rsidRDefault="00D142A0" w:rsidP="00D142A0">
      <w:pPr>
        <w:pStyle w:val="Paragraphe12"/>
        <w:rPr>
          <w:rFonts w:eastAsia="Calibri"/>
        </w:rPr>
      </w:pPr>
      <w:r w:rsidRPr="00D142A0">
        <w:rPr>
          <w:rFonts w:eastAsia="Calibri"/>
          <w:b/>
          <w:bCs/>
        </w:rPr>
        <w:t>1945</w:t>
      </w:r>
      <w:r>
        <w:rPr>
          <w:rFonts w:eastAsia="Calibri"/>
        </w:rPr>
        <w:t> : refus du culte catholique d’entrer dans la Sécurité sociale.</w:t>
      </w:r>
    </w:p>
    <w:p w14:paraId="144CE592" w14:textId="39E654EF" w:rsidR="009D43BF" w:rsidRDefault="00D142A0" w:rsidP="005C4A33">
      <w:pPr>
        <w:pStyle w:val="Paragraphe12"/>
        <w:rPr>
          <w:i/>
          <w:iCs/>
        </w:rPr>
      </w:pPr>
      <w:r w:rsidRPr="00D142A0">
        <w:rPr>
          <w:rFonts w:eastAsia="Calibri"/>
          <w:b/>
          <w:bCs/>
        </w:rPr>
        <w:t>1947</w:t>
      </w:r>
      <w:r>
        <w:rPr>
          <w:rFonts w:eastAsia="Calibri"/>
        </w:rPr>
        <w:t> : Refus de la nouvelle solution proposée par l’État sur le modèle préparé pour les milieux indépendants.</w:t>
      </w:r>
      <w:r w:rsidR="005C4A33">
        <w:rPr>
          <w:rFonts w:eastAsia="Calibri"/>
        </w:rPr>
        <w:t xml:space="preserve"> </w:t>
      </w:r>
      <w:r>
        <w:t xml:space="preserve">La loi du 17 janvier 1948 prévoyait dans les professions exercée : </w:t>
      </w:r>
      <w:r w:rsidR="009D43BF" w:rsidRPr="009D43BF">
        <w:rPr>
          <w:i/>
          <w:iCs/>
        </w:rPr>
        <w:t>“</w:t>
      </w:r>
      <w:r w:rsidRPr="009D43BF">
        <w:rPr>
          <w:i/>
          <w:iCs/>
        </w:rPr>
        <w:t>ministre du culte catholique</w:t>
      </w:r>
      <w:r w:rsidR="009D43BF" w:rsidRPr="009D43BF">
        <w:rPr>
          <w:i/>
          <w:iCs/>
        </w:rPr>
        <w:t>”</w:t>
      </w:r>
      <w:r w:rsidRPr="009D43BF">
        <w:rPr>
          <w:i/>
          <w:iCs/>
        </w:rPr>
        <w:t>.</w:t>
      </w:r>
    </w:p>
    <w:p w14:paraId="3F4931F9" w14:textId="0CD8FB77" w:rsidR="00D142A0" w:rsidRDefault="00D142A0" w:rsidP="005C4A33">
      <w:pPr>
        <w:pStyle w:val="Paragraphe12"/>
        <w:rPr>
          <w:i/>
          <w:iCs/>
        </w:rPr>
      </w:pPr>
      <w:r>
        <w:t xml:space="preserve">L’objection présentée par Mgr CHAPOULIE : les assurés pourraient devenirs électeurs du Conseil d’administration ce </w:t>
      </w:r>
      <w:r w:rsidRPr="00D142A0">
        <w:rPr>
          <w:i/>
          <w:iCs/>
        </w:rPr>
        <w:t>« qui introduirait dans l’Église une institution incompatible avec son organisation fondamentale ».</w:t>
      </w:r>
    </w:p>
    <w:p w14:paraId="483E94AC" w14:textId="620EE8B5" w:rsidR="00D142A0" w:rsidRDefault="00D142A0" w:rsidP="00D142A0">
      <w:pPr>
        <w:pStyle w:val="Paragraphe12"/>
        <w:rPr>
          <w:rFonts w:eastAsia="Calibri"/>
        </w:rPr>
      </w:pPr>
      <w:r w:rsidRPr="009D43BF">
        <w:rPr>
          <w:rFonts w:eastAsia="Calibri"/>
          <w:b/>
          <w:bCs/>
        </w:rPr>
        <w:t>1950</w:t>
      </w:r>
      <w:r>
        <w:rPr>
          <w:rFonts w:eastAsia="Calibri"/>
        </w:rPr>
        <w:t> : Loi Viatte (</w:t>
      </w:r>
      <w:r w:rsidR="009D43BF" w:rsidRPr="009D43BF">
        <w:rPr>
          <w:rFonts w:eastAsia="Calibri"/>
        </w:rPr>
        <w:t>loi n° 50-222, 19 février 1950</w:t>
      </w:r>
      <w:r w:rsidR="009D43BF">
        <w:rPr>
          <w:rFonts w:eastAsia="Calibri"/>
        </w:rPr>
        <w:t>)</w:t>
      </w:r>
      <w:r w:rsidR="009D43BF" w:rsidRPr="009D43BF">
        <w:rPr>
          <w:rFonts w:eastAsia="Calibri"/>
        </w:rPr>
        <w:t>.</w:t>
      </w:r>
    </w:p>
    <w:p w14:paraId="7102572B" w14:textId="555C54AA" w:rsidR="009D43BF" w:rsidRDefault="009D43BF" w:rsidP="009D43BF">
      <w:pPr>
        <w:pStyle w:val="Citation1"/>
      </w:pPr>
      <w:r w:rsidRPr="009D43BF">
        <w:t>« L'exercice du ministère du culte catholique n'est pas considéré comme une activité professionnelle au regard de la législation sociale… »</w:t>
      </w:r>
      <w:r>
        <w:t>.</w:t>
      </w:r>
    </w:p>
    <w:p w14:paraId="49CFE4CA" w14:textId="22B9F2C5" w:rsidR="009D43BF" w:rsidRDefault="009D43BF" w:rsidP="005C4A33">
      <w:pPr>
        <w:pStyle w:val="Paragrretrait1"/>
      </w:pPr>
      <w:r>
        <w:t>Cette même année voit la mise en place de la mutuelle Saint-Martin.</w:t>
      </w:r>
    </w:p>
    <w:p w14:paraId="52A33865" w14:textId="4CAD3BB4" w:rsidR="009D43BF" w:rsidRDefault="009D43BF" w:rsidP="009D43BF">
      <w:pPr>
        <w:pStyle w:val="Paragraphe12"/>
        <w:rPr>
          <w:rFonts w:eastAsia="Calibri"/>
        </w:rPr>
      </w:pPr>
      <w:r w:rsidRPr="009D00D9">
        <w:rPr>
          <w:rFonts w:eastAsia="Calibri"/>
          <w:b/>
          <w:bCs/>
        </w:rPr>
        <w:t>1968</w:t>
      </w:r>
      <w:r>
        <w:rPr>
          <w:rFonts w:eastAsia="Calibri"/>
        </w:rPr>
        <w:t xml:space="preserve"> : </w:t>
      </w:r>
      <w:r w:rsidR="008746C9">
        <w:rPr>
          <w:rFonts w:eastAsia="Calibri"/>
        </w:rPr>
        <w:t>Le culte catholique crée la caisse privée</w:t>
      </w:r>
      <w:r>
        <w:rPr>
          <w:rFonts w:eastAsia="Calibri"/>
        </w:rPr>
        <w:t xml:space="preserve"> “Entraide Missions et Instituts” (EMI)</w:t>
      </w:r>
      <w:r w:rsidR="008746C9">
        <w:rPr>
          <w:rFonts w:eastAsia="Calibri"/>
        </w:rPr>
        <w:t xml:space="preserve"> pour les religieux</w:t>
      </w:r>
      <w:r>
        <w:rPr>
          <w:rFonts w:eastAsia="Calibri"/>
        </w:rPr>
        <w:t>.</w:t>
      </w:r>
    </w:p>
    <w:p w14:paraId="34FC3EE3" w14:textId="442A602B" w:rsidR="00ED5C50" w:rsidRPr="00666B06" w:rsidRDefault="005C4A33" w:rsidP="005C4A33">
      <w:pPr>
        <w:pStyle w:val="Paragrretrait1"/>
        <w:rPr>
          <w:i/>
          <w:iCs/>
        </w:rPr>
      </w:pPr>
      <w:r>
        <w:t xml:space="preserve">NB. </w:t>
      </w:r>
      <w:r w:rsidR="00DB60CC">
        <w:t xml:space="preserve">Il convient de préciser que </w:t>
      </w:r>
      <w:r>
        <w:t xml:space="preserve">la Camac et la Camavic </w:t>
      </w:r>
      <w:r w:rsidR="00666B06">
        <w:t>s</w:t>
      </w:r>
      <w:r w:rsidR="00DB60CC">
        <w:t>er</w:t>
      </w:r>
      <w:r w:rsidR="00666B06">
        <w:t xml:space="preserve">ont perçues comme des caisses privées, </w:t>
      </w:r>
      <w:r w:rsidR="00DB60CC">
        <w:t>comme un alignement de l’EMI</w:t>
      </w:r>
      <w:r w:rsidR="00666B06">
        <w:t xml:space="preserve"> sur les règles des régimes de sécurité sociale</w:t>
      </w:r>
      <w:r w:rsidR="00ED5C50">
        <w:t xml:space="preserve"> : </w:t>
      </w:r>
      <w:r w:rsidR="00ED5C50" w:rsidRPr="00666B06">
        <w:rPr>
          <w:i/>
          <w:iCs/>
        </w:rPr>
        <w:t>« à compter du 1</w:t>
      </w:r>
      <w:r w:rsidR="00ED5C50" w:rsidRPr="00666B06">
        <w:rPr>
          <w:i/>
          <w:iCs/>
          <w:vertAlign w:val="superscript"/>
        </w:rPr>
        <w:t>er</w:t>
      </w:r>
      <w:r w:rsidR="00ED5C50" w:rsidRPr="00666B06">
        <w:rPr>
          <w:i/>
          <w:iCs/>
        </w:rPr>
        <w:t xml:space="preserve"> janvier 19</w:t>
      </w:r>
      <w:r w:rsidR="00215CFF" w:rsidRPr="00666B06">
        <w:rPr>
          <w:i/>
          <w:iCs/>
        </w:rPr>
        <w:t>7</w:t>
      </w:r>
      <w:r w:rsidR="00ED5C50" w:rsidRPr="00666B06">
        <w:rPr>
          <w:i/>
          <w:iCs/>
        </w:rPr>
        <w:t>7, ce régime est profondément réformé : il s’aligne sur les régimes obligatoires de Sécurité sociale. L’intégration du régime E.M.I. dans la sécurité sociale qui doit intervenir à bref délai sera ainsi facilitée ».</w:t>
      </w:r>
    </w:p>
    <w:p w14:paraId="3F77FBBD" w14:textId="39C4520B" w:rsidR="00ED5C50" w:rsidRDefault="00165A9A" w:rsidP="00165A9A">
      <w:pPr>
        <w:pStyle w:val="Rfrence"/>
      </w:pPr>
      <w:r>
        <w:t xml:space="preserve">Pièce 1. </w:t>
      </w:r>
      <w:r w:rsidR="00ED5C50">
        <w:t>Circulaire de janvier 1977 sur l’EMI.</w:t>
      </w:r>
    </w:p>
    <w:p w14:paraId="25833F29" w14:textId="62E123B2" w:rsidR="00ED5C50" w:rsidRDefault="00ED5C50" w:rsidP="00D37C82">
      <w:pPr>
        <w:pStyle w:val="Paragraphe12"/>
      </w:pPr>
      <w:r w:rsidRPr="00012611">
        <w:rPr>
          <w:b/>
          <w:bCs/>
        </w:rPr>
        <w:t>1972</w:t>
      </w:r>
      <w:r>
        <w:t xml:space="preserve"> : </w:t>
      </w:r>
      <w:r w:rsidR="008746C9">
        <w:t>Le culte catholique crée</w:t>
      </w:r>
      <w:r w:rsidR="00DB60CC">
        <w:t>,</w:t>
      </w:r>
      <w:r>
        <w:t xml:space="preserve"> </w:t>
      </w:r>
      <w:r w:rsidR="00DB60CC">
        <w:t xml:space="preserve">pour les prêtres, </w:t>
      </w:r>
      <w:r>
        <w:t>la Caisse d’Allocations aux Prêtres Âgés (CAPA)</w:t>
      </w:r>
      <w:r w:rsidR="008746C9">
        <w:t>.</w:t>
      </w:r>
    </w:p>
    <w:p w14:paraId="4AC100C6" w14:textId="75AE7278" w:rsidR="00666B06" w:rsidRPr="00ED5C50" w:rsidRDefault="00666B06" w:rsidP="00666B06">
      <w:pPr>
        <w:pStyle w:val="Paragrretrait1"/>
      </w:pPr>
      <w:r>
        <w:t>NB. Il convient de noter que la CAPA est créée dans la perspective d’intégrer la sécurité sociale et ain</w:t>
      </w:r>
      <w:r w:rsidR="00DB60CC">
        <w:t>si</w:t>
      </w:r>
      <w:r>
        <w:t xml:space="preserve"> de bénéficier de la compensation démographique.</w:t>
      </w:r>
    </w:p>
    <w:p w14:paraId="4E5D8ECB" w14:textId="25D8FE22" w:rsidR="00D37C82" w:rsidRDefault="00D37C82" w:rsidP="00D37C82">
      <w:pPr>
        <w:pStyle w:val="Citation1"/>
      </w:pPr>
      <w:r>
        <w:t>« Pourquoi avoir institué la CAPA ? […] Préparer l’avenir en tenant compte de l’évolution prévisible de l’organisation de l’assurance vieillesse en France, qui, dans sa forme actuelle, ne permet pas le rattachement des prêtres à un régime légal obligatoire de Sécurité sociale. […]</w:t>
      </w:r>
    </w:p>
    <w:p w14:paraId="109A1FEB" w14:textId="1E0BFF77" w:rsidR="00D37C82" w:rsidRDefault="00D37C82" w:rsidP="00D37C82">
      <w:pPr>
        <w:pStyle w:val="Citation1"/>
      </w:pPr>
      <w:r>
        <w:t>Lorsque la réforme sera appliquée, une péréquation démographique se trouvera effectuée entre tous les régimes de retraite existant, de telle sorte que les charges de vieillesse soient identiques dans tous les secteurs professionnels.</w:t>
      </w:r>
    </w:p>
    <w:p w14:paraId="4D544A5A" w14:textId="70CC9CA4" w:rsidR="00D37C82" w:rsidRDefault="00D37C82" w:rsidP="00D37C82">
      <w:pPr>
        <w:pStyle w:val="Citation1"/>
      </w:pPr>
      <w:r>
        <w:t>Mais, pour qu’un régime bénéficie de cette péréquation, il faut qu’il ait commencé à exister »</w:t>
      </w:r>
      <w:r w:rsidR="00012611">
        <w:t>.</w:t>
      </w:r>
    </w:p>
    <w:p w14:paraId="5934F791" w14:textId="77E8326D" w:rsidR="00977D74" w:rsidRDefault="00165A9A" w:rsidP="00165A9A">
      <w:pPr>
        <w:pStyle w:val="Rfrence"/>
        <w:rPr>
          <w:lang w:eastAsia="fr-FR"/>
        </w:rPr>
      </w:pPr>
      <w:r>
        <w:rPr>
          <w:lang w:eastAsia="fr-FR"/>
        </w:rPr>
        <w:t xml:space="preserve">Pièce 2. </w:t>
      </w:r>
      <w:r w:rsidR="00012611">
        <w:rPr>
          <w:lang w:eastAsia="fr-FR"/>
        </w:rPr>
        <w:t>Note d’information sur la CAPA. Mai 1972.</w:t>
      </w:r>
    </w:p>
    <w:p w14:paraId="3C6ED65F" w14:textId="44BD2193" w:rsidR="00012611" w:rsidRDefault="00012611" w:rsidP="004423BC">
      <w:pPr>
        <w:pStyle w:val="Paragraphe12"/>
        <w:rPr>
          <w:rStyle w:val="hgkelc"/>
        </w:rPr>
      </w:pPr>
      <w:r w:rsidRPr="00BB2404">
        <w:rPr>
          <w:rFonts w:eastAsia="Calibri"/>
          <w:b/>
          <w:bCs/>
        </w:rPr>
        <w:t>1974</w:t>
      </w:r>
      <w:r w:rsidR="00BB2404" w:rsidRPr="00BB2404">
        <w:rPr>
          <w:rFonts w:eastAsia="Calibri"/>
          <w:b/>
          <w:bCs/>
        </w:rPr>
        <w:t> </w:t>
      </w:r>
      <w:r w:rsidR="00BB2404">
        <w:rPr>
          <w:rFonts w:eastAsia="Calibri"/>
        </w:rPr>
        <w:t xml:space="preserve">: Loi </w:t>
      </w:r>
      <w:r w:rsidR="004E7ABC">
        <w:rPr>
          <w:rStyle w:val="hgkelc"/>
        </w:rPr>
        <w:t xml:space="preserve">n° 74-1094 du 24 décembre 1974 </w:t>
      </w:r>
      <w:r w:rsidR="00BB2404">
        <w:rPr>
          <w:rStyle w:val="hgkelc"/>
        </w:rPr>
        <w:t xml:space="preserve">relative à la protection sociale commune à tous les Français </w:t>
      </w:r>
      <w:r w:rsidR="00BB2404" w:rsidRPr="00BB2404">
        <w:rPr>
          <w:rStyle w:val="hgkelc"/>
        </w:rPr>
        <w:t>et instituant une compensation entre régimes de base de sécurité sociale obligatoire.</w:t>
      </w:r>
    </w:p>
    <w:p w14:paraId="57FF827F" w14:textId="77777777" w:rsidR="00BB2404" w:rsidRDefault="00BB2404" w:rsidP="004423BC">
      <w:pPr>
        <w:pStyle w:val="Paragraphe12"/>
      </w:pPr>
      <w:r w:rsidRPr="0011271B">
        <w:t xml:space="preserve">La loi de généralisation de la </w:t>
      </w:r>
      <w:r>
        <w:t>S</w:t>
      </w:r>
      <w:r w:rsidRPr="0011271B">
        <w:t>écurité sociale du 24 décembre 1974 a prévu l'institution d'une protection sociale commune à tous les Français quels que soient leur statut, leur situation personnelle ou les conditions d'exercice de leur activité. (Loi 74-1094, article 1).</w:t>
      </w:r>
    </w:p>
    <w:p w14:paraId="5D59FE50" w14:textId="77777777" w:rsidR="004E7ABC" w:rsidRPr="0011271B" w:rsidRDefault="004E7ABC" w:rsidP="004423BC">
      <w:pPr>
        <w:pStyle w:val="Paragraphe12"/>
      </w:pPr>
    </w:p>
    <w:p w14:paraId="4FE37381" w14:textId="77777777" w:rsidR="00BB2404" w:rsidRDefault="00012611" w:rsidP="00BB2404">
      <w:pPr>
        <w:pStyle w:val="Paragraphe12"/>
        <w:rPr>
          <w:rFonts w:eastAsia="Calibri"/>
        </w:rPr>
      </w:pPr>
      <w:r w:rsidRPr="00BB2404">
        <w:rPr>
          <w:rFonts w:eastAsia="Calibri"/>
          <w:b/>
          <w:bCs/>
        </w:rPr>
        <w:lastRenderedPageBreak/>
        <w:t>1975</w:t>
      </w:r>
      <w:r w:rsidR="00BB2404">
        <w:rPr>
          <w:rFonts w:eastAsia="Calibri"/>
        </w:rPr>
        <w:t> : Loi de généralisation de la Sécurité sociale :</w:t>
      </w:r>
    </w:p>
    <w:p w14:paraId="7167897E" w14:textId="21F6E0DE" w:rsidR="00DA0429" w:rsidRDefault="00BB2404" w:rsidP="005C4A33">
      <w:pPr>
        <w:pStyle w:val="Paragrretrait1"/>
      </w:pPr>
      <w:r w:rsidRPr="0011271B">
        <w:t xml:space="preserve">Dans </w:t>
      </w:r>
      <w:r>
        <w:t>le</w:t>
      </w:r>
      <w:r w:rsidRPr="0011271B">
        <w:t xml:space="preserve"> sillage</w:t>
      </w:r>
      <w:r>
        <w:t xml:space="preserve"> de la loi 74-1094</w:t>
      </w:r>
      <w:r w:rsidRPr="0011271B">
        <w:t xml:space="preserve">, la loi 75-574 du 4 juillet 1975 tendant à la généralisation de la </w:t>
      </w:r>
      <w:r>
        <w:t>S</w:t>
      </w:r>
      <w:r w:rsidRPr="0011271B">
        <w:t>écurité sociale</w:t>
      </w:r>
      <w:r w:rsidR="00E55633">
        <w:t>,</w:t>
      </w:r>
      <w:r w:rsidRPr="0011271B">
        <w:t xml:space="preserve"> dispose</w:t>
      </w:r>
      <w:r>
        <w:t>,</w:t>
      </w:r>
      <w:r w:rsidRPr="0011271B">
        <w:t xml:space="preserve"> en son article 1</w:t>
      </w:r>
      <w:r w:rsidRPr="0011271B">
        <w:rPr>
          <w:vertAlign w:val="superscript"/>
        </w:rPr>
        <w:t>er</w:t>
      </w:r>
      <w:r>
        <w:t>,</w:t>
      </w:r>
      <w:r w:rsidRPr="0011271B">
        <w:t xml:space="preserve"> </w:t>
      </w:r>
      <w:r w:rsidRPr="0011271B">
        <w:rPr>
          <w:i/>
        </w:rPr>
        <w:t>« qu'un projet de loi prévoyant les conditions d'assujettissement à un régime obligatoire de sécurité sociale de toutes les personnes n'en bénéficiant pas devra être déposé au plus tard le 1</w:t>
      </w:r>
      <w:r w:rsidRPr="00666779">
        <w:rPr>
          <w:i/>
          <w:vertAlign w:val="superscript"/>
        </w:rPr>
        <w:t>er</w:t>
      </w:r>
      <w:r w:rsidRPr="0011271B">
        <w:rPr>
          <w:i/>
        </w:rPr>
        <w:t xml:space="preserve"> janvier 1977</w:t>
      </w:r>
      <w:r>
        <w:rPr>
          <w:i/>
        </w:rPr>
        <w:t> </w:t>
      </w:r>
      <w:r w:rsidRPr="0011271B">
        <w:rPr>
          <w:i/>
        </w:rPr>
        <w:t>»</w:t>
      </w:r>
      <w:r w:rsidRPr="0011271B">
        <w:t>.</w:t>
      </w:r>
    </w:p>
    <w:p w14:paraId="4D8A8002" w14:textId="47D93DA1" w:rsidR="006F1D71" w:rsidRDefault="00BB2404" w:rsidP="00BB2404">
      <w:pPr>
        <w:pStyle w:val="Paragraphe12"/>
        <w:rPr>
          <w:rFonts w:eastAsia="Calibri"/>
        </w:rPr>
      </w:pPr>
      <w:r w:rsidRPr="00BB2404">
        <w:rPr>
          <w:rFonts w:eastAsia="Calibri"/>
          <w:b/>
          <w:bCs/>
        </w:rPr>
        <w:t>1977</w:t>
      </w:r>
      <w:r w:rsidR="006F1D71">
        <w:rPr>
          <w:rFonts w:eastAsia="Calibri"/>
          <w:b/>
          <w:bCs/>
        </w:rPr>
        <w:t>-1979</w:t>
      </w:r>
      <w:r>
        <w:rPr>
          <w:rFonts w:eastAsia="Calibri"/>
        </w:rPr>
        <w:t xml:space="preserve">. </w:t>
      </w:r>
      <w:r w:rsidR="006F1D71" w:rsidRPr="003B242A">
        <w:rPr>
          <w:rFonts w:eastAsia="Calibri"/>
          <w:b/>
          <w:bCs/>
        </w:rPr>
        <w:t>Création du régime particulier des cultes.</w:t>
      </w:r>
    </w:p>
    <w:p w14:paraId="40CE5B40" w14:textId="0B52BFEA" w:rsidR="006F1D71" w:rsidRDefault="00165A9A" w:rsidP="004446F9">
      <w:pPr>
        <w:pStyle w:val="Titre5"/>
      </w:pPr>
      <w:r>
        <w:t>Réflexions au sein du culte catholique</w:t>
      </w:r>
    </w:p>
    <w:p w14:paraId="0B3C4040" w14:textId="27F55F38" w:rsidR="00165A9A" w:rsidRDefault="00165A9A" w:rsidP="00165A9A">
      <w:pPr>
        <w:pStyle w:val="Paragraphe12"/>
        <w:rPr>
          <w:rFonts w:eastAsia="Calibri"/>
          <w:lang w:eastAsia="en-US"/>
        </w:rPr>
      </w:pPr>
      <w:r>
        <w:rPr>
          <w:rFonts w:eastAsia="Calibri"/>
          <w:lang w:eastAsia="en-US"/>
        </w:rPr>
        <w:t>Après 1968, le questionnement sur la vie matérielle du clergé devient de plus en plus aigu. Un groupe de réflexion est constitué en 1969. Une brochure de 1976 présente les réflexions sur l’extension de la sécurité sociale aux prêtres, religieux et religieuses.</w:t>
      </w:r>
    </w:p>
    <w:p w14:paraId="0CD1E5A3" w14:textId="68D58BF0" w:rsidR="00165A9A" w:rsidRDefault="00165A9A" w:rsidP="00165A9A">
      <w:pPr>
        <w:pStyle w:val="Rfrence"/>
      </w:pPr>
      <w:r>
        <w:t>Pièce 3. Réflexions sur l’extension de la sécurité sociale aux prêtres, religieux et religieuses.</w:t>
      </w:r>
    </w:p>
    <w:p w14:paraId="6843E0C3" w14:textId="4D567ED3" w:rsidR="00165A9A" w:rsidRDefault="003B242A" w:rsidP="004446F9">
      <w:pPr>
        <w:pStyle w:val="Titre5"/>
      </w:pPr>
      <w:r>
        <w:t>Contacts entre gouvernement et autorités religieuses</w:t>
      </w:r>
    </w:p>
    <w:p w14:paraId="169981BD" w14:textId="77777777" w:rsidR="003B242A" w:rsidRDefault="003B242A" w:rsidP="003B242A">
      <w:pPr>
        <w:pStyle w:val="Paragraphe12"/>
        <w:rPr>
          <w:rFonts w:eastAsia="Calibri"/>
          <w:lang w:eastAsia="en-US"/>
        </w:rPr>
      </w:pPr>
      <w:r>
        <w:rPr>
          <w:rFonts w:eastAsia="Calibri"/>
          <w:lang w:eastAsia="en-US"/>
        </w:rPr>
        <w:t>Désireux de normaliser la situation du clergé catholique et des membres des congrégations, le gouvernent prend des contacts avec les autorités religieuses pour examiner les modalités d’affiliation à la sécurité sociale.</w:t>
      </w:r>
    </w:p>
    <w:p w14:paraId="284E6D3C" w14:textId="635031F5" w:rsidR="003B242A" w:rsidRDefault="003B242A" w:rsidP="003B242A">
      <w:pPr>
        <w:pStyle w:val="Paragraphe12"/>
        <w:rPr>
          <w:rFonts w:eastAsia="Calibri"/>
          <w:lang w:eastAsia="en-US"/>
        </w:rPr>
      </w:pPr>
      <w:r>
        <w:rPr>
          <w:rFonts w:eastAsia="Calibri"/>
          <w:lang w:eastAsia="en-US"/>
        </w:rPr>
        <w:t>Le culte catholique dicte ses conditions pour cette entrée dans la sécurité sociale :</w:t>
      </w:r>
    </w:p>
    <w:p w14:paraId="606FD518" w14:textId="0245C067" w:rsidR="003B242A" w:rsidRDefault="003B242A" w:rsidP="003B242A">
      <w:pPr>
        <w:pStyle w:val="listepucescitation"/>
      </w:pPr>
      <w:r>
        <w:t>Garder un contrôle sur l’organisme de sécurité sociale,</w:t>
      </w:r>
    </w:p>
    <w:p w14:paraId="299835A0" w14:textId="3D053B5B" w:rsidR="003B242A" w:rsidRDefault="003B242A" w:rsidP="003B242A">
      <w:pPr>
        <w:pStyle w:val="listepucescitation"/>
      </w:pPr>
      <w:r>
        <w:t>Ne pas imposer au régime général le déficit des caisses incorporées au système national,</w:t>
      </w:r>
    </w:p>
    <w:p w14:paraId="2A068914" w14:textId="28D30A29" w:rsidR="003B242A" w:rsidRDefault="003B242A" w:rsidP="003B242A">
      <w:pPr>
        <w:pStyle w:val="listepucescitation"/>
      </w:pPr>
      <w:r>
        <w:t>Ne pas imposer aux institutions religieuses le rachat des cotisations pour les périodes antérieures.</w:t>
      </w:r>
    </w:p>
    <w:p w14:paraId="0F65FCB2" w14:textId="338C181F" w:rsidR="003B242A" w:rsidRPr="003B242A" w:rsidRDefault="003B242A" w:rsidP="003B242A">
      <w:pPr>
        <w:pStyle w:val="Paragraphe12"/>
        <w:rPr>
          <w:rFonts w:eastAsia="Calibri"/>
        </w:rPr>
      </w:pPr>
      <w:r>
        <w:rPr>
          <w:rFonts w:eastAsia="Calibri"/>
        </w:rPr>
        <w:t>Malgré les demandes de certains, l’Épiscopat repousse ainsi le rattachement pur et simple au régime général. Le culte catholique obtiendra un régime particulier où les administrateurs seront proposés par lui. Les périodes antérieures à la loi seront prises en compte moyennant une cotisation d’équilibre (art. 25</w:t>
      </w:r>
      <w:r w:rsidR="00496734">
        <w:rPr>
          <w:rFonts w:eastAsia="Calibri"/>
        </w:rPr>
        <w:t xml:space="preserve"> du décret 79-607. Elle sera perçue jusqu’en 1998). Un régime réduit d’assurance maladie sera obtenu.</w:t>
      </w:r>
    </w:p>
    <w:p w14:paraId="323A5768" w14:textId="0C5FAD5D" w:rsidR="00BB2404" w:rsidRDefault="00BB2404" w:rsidP="004446F9">
      <w:pPr>
        <w:pStyle w:val="Titre5"/>
      </w:pPr>
      <w:r>
        <w:t>Débats parlementaires.</w:t>
      </w:r>
    </w:p>
    <w:p w14:paraId="797BDB7A" w14:textId="0B32D09F" w:rsidR="00496734" w:rsidRPr="00496734" w:rsidRDefault="00496734" w:rsidP="00496734">
      <w:pPr>
        <w:pStyle w:val="Paragraphe12"/>
        <w:rPr>
          <w:rFonts w:eastAsia="Calibri"/>
          <w:lang w:eastAsia="en-US"/>
        </w:rPr>
      </w:pPr>
      <w:r>
        <w:rPr>
          <w:rFonts w:eastAsia="Calibri"/>
          <w:lang w:eastAsia="en-US"/>
        </w:rPr>
        <w:t>Les débats parlementaires reflètent l</w:t>
      </w:r>
      <w:r w:rsidR="008E748D">
        <w:rPr>
          <w:rFonts w:eastAsia="Calibri"/>
          <w:lang w:eastAsia="en-US"/>
        </w:rPr>
        <w:t>’impossibilité</w:t>
      </w:r>
      <w:r>
        <w:rPr>
          <w:rFonts w:eastAsia="Calibri"/>
          <w:lang w:eastAsia="en-US"/>
        </w:rPr>
        <w:t xml:space="preserve"> pour le législateur de définir </w:t>
      </w:r>
      <w:r w:rsidR="008E748D">
        <w:rPr>
          <w:rFonts w:eastAsia="Calibri"/>
          <w:lang w:eastAsia="en-US"/>
        </w:rPr>
        <w:t>les membres des cultes</w:t>
      </w:r>
      <w:r>
        <w:rPr>
          <w:rFonts w:eastAsia="Calibri"/>
          <w:lang w:eastAsia="en-US"/>
        </w:rPr>
        <w:t xml:space="preserve">. Aux notions de ministre du culte et de congrégation religieuse, le législateur </w:t>
      </w:r>
      <w:r w:rsidR="008E748D">
        <w:rPr>
          <w:rFonts w:eastAsia="Calibri"/>
          <w:lang w:eastAsia="en-US"/>
        </w:rPr>
        <w:t xml:space="preserve">a </w:t>
      </w:r>
      <w:r>
        <w:rPr>
          <w:rFonts w:eastAsia="Calibri"/>
          <w:lang w:eastAsia="en-US"/>
        </w:rPr>
        <w:t>ajout</w:t>
      </w:r>
      <w:r w:rsidR="008E748D">
        <w:rPr>
          <w:rFonts w:eastAsia="Calibri"/>
          <w:lang w:eastAsia="en-US"/>
        </w:rPr>
        <w:t>é celle</w:t>
      </w:r>
      <w:r>
        <w:rPr>
          <w:rFonts w:eastAsia="Calibri"/>
          <w:lang w:eastAsia="en-US"/>
        </w:rPr>
        <w:t xml:space="preserve"> de “collectivité religieuse”</w:t>
      </w:r>
      <w:r w:rsidR="008E748D">
        <w:rPr>
          <w:rFonts w:eastAsia="Calibri"/>
          <w:lang w:eastAsia="en-US"/>
        </w:rPr>
        <w:t>, notion non définie, utile pour tous les cultes, marquant la volonté que personne ne soit exclu de la sécurité sociale</w:t>
      </w:r>
      <w:r>
        <w:rPr>
          <w:rFonts w:eastAsia="Calibri"/>
          <w:lang w:eastAsia="en-US"/>
        </w:rPr>
        <w:t>.</w:t>
      </w:r>
    </w:p>
    <w:p w14:paraId="7F6C0286" w14:textId="68486797" w:rsidR="0097567D" w:rsidRPr="0097567D" w:rsidRDefault="0097567D" w:rsidP="00A630B7">
      <w:pPr>
        <w:pStyle w:val="Citation1"/>
      </w:pPr>
      <w:r w:rsidRPr="0097567D">
        <w:t>« Il n’existe aucune définition du culte ».</w:t>
      </w:r>
    </w:p>
    <w:p w14:paraId="48FE2EF2" w14:textId="5F67F343" w:rsidR="0097567D" w:rsidRPr="0097567D" w:rsidRDefault="0097567D" w:rsidP="00A630B7">
      <w:pPr>
        <w:pStyle w:val="Citation1"/>
      </w:pPr>
      <w:r w:rsidRPr="0097567D">
        <w:t>« Le monde religieux ne pouvait manquer de poser à l’organisation de la sécurité sociale certains problèmes spécifiques, en particulier celui de la définition même d’un culte, inexistante dans notre droit positif, et qui devra être précisée à l’occasion de cas concrets.</w:t>
      </w:r>
    </w:p>
    <w:p w14:paraId="60DCF36F" w14:textId="4F7B93D2" w:rsidR="0097567D" w:rsidRPr="0097567D" w:rsidRDefault="0097567D" w:rsidP="00A630B7">
      <w:pPr>
        <w:pStyle w:val="Citation1"/>
      </w:pPr>
      <w:r w:rsidRPr="0097567D">
        <w:t>Les difficultés susceptibles de se présenter dans ce domaine seront réglées après consultation d’une commission des “Sages” dans laquelle seront représentées des personnalités hautement qualifiées du monde religieux et des personnalités choisies pour leur compétence ».</w:t>
      </w:r>
    </w:p>
    <w:p w14:paraId="23CC245F" w14:textId="7E9E3733" w:rsidR="0097567D" w:rsidRDefault="008E748D" w:rsidP="00165A9A">
      <w:pPr>
        <w:pStyle w:val="Rfrence"/>
      </w:pPr>
      <w:r>
        <w:t xml:space="preserve">Pièce 4. </w:t>
      </w:r>
      <w:r w:rsidR="0097567D" w:rsidRPr="00580AD8">
        <w:t>Débats</w:t>
      </w:r>
      <w:r w:rsidR="0097567D">
        <w:t xml:space="preserve"> Assemblée nationale. 6 décembre 1977. 1</w:t>
      </w:r>
      <w:r w:rsidR="0097567D" w:rsidRPr="0097567D">
        <w:rPr>
          <w:vertAlign w:val="superscript"/>
        </w:rPr>
        <w:t>ère</w:t>
      </w:r>
      <w:r w:rsidR="0097567D">
        <w:t xml:space="preserve"> séance.</w:t>
      </w:r>
      <w:r w:rsidR="00305144">
        <w:t xml:space="preserve"> (Voir p. 8293).</w:t>
      </w:r>
    </w:p>
    <w:p w14:paraId="1397EDDD" w14:textId="4255C958" w:rsidR="003C7C2D" w:rsidRDefault="003C7C2D" w:rsidP="003C7C2D">
      <w:pPr>
        <w:pStyle w:val="Citation1"/>
      </w:pPr>
      <w:r>
        <w:t>« </w:t>
      </w:r>
      <w:r w:rsidRPr="003C7C2D">
        <w:rPr>
          <w:b/>
        </w:rPr>
        <w:t>M. le président</w:t>
      </w:r>
      <w:r>
        <w:t xml:space="preserve">. </w:t>
      </w:r>
      <w:r w:rsidR="001E7497">
        <w:t>« </w:t>
      </w:r>
      <w:r>
        <w:t>M. Delaneau, rapporteur de la commission des affaires culturelles, familiales et sociales, a présenté un amendement n° 10 ainsi rédigé : « Au début de l’article 1</w:t>
      </w:r>
      <w:r w:rsidRPr="003C7C2D">
        <w:rPr>
          <w:vertAlign w:val="superscript"/>
        </w:rPr>
        <w:t>er</w:t>
      </w:r>
      <w:r>
        <w:t>, après le mot : “congrégations”, insérer les mots “et collectivités ».</w:t>
      </w:r>
    </w:p>
    <w:p w14:paraId="5C194EE7" w14:textId="347DC9C7" w:rsidR="003C7C2D" w:rsidRDefault="003C7C2D" w:rsidP="003C7C2D">
      <w:pPr>
        <w:pStyle w:val="Citation1"/>
      </w:pPr>
      <w:r w:rsidRPr="003C7C2D">
        <w:rPr>
          <w:b/>
        </w:rPr>
        <w:t>M. Delaneau</w:t>
      </w:r>
      <w:r>
        <w:t xml:space="preserve">. </w:t>
      </w:r>
      <w:r w:rsidR="001E7497">
        <w:t>« </w:t>
      </w:r>
      <w:r>
        <w:t>Comme je l’ai indiqué dans mon rapport, même si le mot “congr</w:t>
      </w:r>
      <w:r w:rsidR="001E7497">
        <w:t>é</w:t>
      </w:r>
      <w:r>
        <w:t>gation”</w:t>
      </w:r>
      <w:r w:rsidR="001E7497">
        <w:t xml:space="preserve"> </w:t>
      </w:r>
      <w:r>
        <w:t xml:space="preserve">ne correspond pas à une </w:t>
      </w:r>
      <w:r w:rsidR="001E7497">
        <w:t>définition</w:t>
      </w:r>
      <w:r>
        <w:t xml:space="preserve"> juridique précise, il</w:t>
      </w:r>
      <w:r w:rsidR="001E7497">
        <w:t xml:space="preserve"> </w:t>
      </w:r>
      <w:r>
        <w:t xml:space="preserve">a actuellement un contenu concret en jurisprudence </w:t>
      </w:r>
      <w:r w:rsidR="001E7497">
        <w:t>e</w:t>
      </w:r>
      <w:r>
        <w:t>t en pratique administrative.</w:t>
      </w:r>
    </w:p>
    <w:p w14:paraId="570CC482" w14:textId="14873BD3" w:rsidR="003C7C2D" w:rsidRDefault="003C7C2D" w:rsidP="003C7C2D">
      <w:pPr>
        <w:pStyle w:val="Citation1"/>
      </w:pPr>
      <w:r>
        <w:t xml:space="preserve">En reprenant le mot “collectivité”, que l’on retrouvera plus loin dans le texte, l’amendement a pour but d’éviter que par le biais d’une </w:t>
      </w:r>
      <w:r w:rsidR="001E7497">
        <w:t>interprétation</w:t>
      </w:r>
      <w:r>
        <w:t xml:space="preserve"> restrictive, certains religieux ne courent le risque de se trouver exclus du </w:t>
      </w:r>
      <w:r w:rsidR="001E7497">
        <w:t>bénéfice</w:t>
      </w:r>
      <w:r>
        <w:t xml:space="preserve"> des dispositions de la loi</w:t>
      </w:r>
      <w:r w:rsidR="001E7497">
        <w:t> ».</w:t>
      </w:r>
    </w:p>
    <w:p w14:paraId="65BAFFBB" w14:textId="34931612" w:rsidR="003C7C2D" w:rsidRPr="003C7C2D" w:rsidRDefault="003C7C2D" w:rsidP="003C7C2D">
      <w:pPr>
        <w:pStyle w:val="Citation1"/>
      </w:pPr>
      <w:r w:rsidRPr="001E7497">
        <w:rPr>
          <w:b/>
          <w:bCs w:val="0"/>
        </w:rPr>
        <w:lastRenderedPageBreak/>
        <w:t>Mme Simone Veil</w:t>
      </w:r>
      <w:r>
        <w:t xml:space="preserve">, ministre de la Santé et de la Sécurité sociale. </w:t>
      </w:r>
      <w:r w:rsidR="001E7497">
        <w:t>« </w:t>
      </w:r>
      <w:r>
        <w:t>En raison de la pluralité des cultes visés par ce projet, la terminologie plus large qui est proposée par la commission me semble meilleure. En conséquence, le Gouvernement accepte cet amendement ».</w:t>
      </w:r>
    </w:p>
    <w:p w14:paraId="5D275F43" w14:textId="41259984" w:rsidR="00BB2404" w:rsidRDefault="00496734" w:rsidP="00165A9A">
      <w:pPr>
        <w:pStyle w:val="Rfrence"/>
      </w:pPr>
      <w:r>
        <w:t xml:space="preserve">Pièce </w:t>
      </w:r>
      <w:r w:rsidR="008E748D">
        <w:t>5</w:t>
      </w:r>
      <w:r>
        <w:t xml:space="preserve">. </w:t>
      </w:r>
      <w:r w:rsidR="0097567D">
        <w:t>Débats Assemblée nationale. 6 décembre 1977.2</w:t>
      </w:r>
      <w:r w:rsidR="0097567D" w:rsidRPr="0097567D">
        <w:rPr>
          <w:vertAlign w:val="superscript"/>
        </w:rPr>
        <w:t>ème</w:t>
      </w:r>
      <w:r w:rsidR="0097567D">
        <w:t xml:space="preserve"> séance.</w:t>
      </w:r>
      <w:r w:rsidR="00305144">
        <w:t xml:space="preserve"> (Voir p. 8301).</w:t>
      </w:r>
    </w:p>
    <w:p w14:paraId="3B6E7E91" w14:textId="7D6981B9" w:rsidR="0097567D" w:rsidRDefault="00D0451F" w:rsidP="00D0451F">
      <w:pPr>
        <w:pStyle w:val="Paragraphe12"/>
      </w:pPr>
      <w:r>
        <w:t>NB. Il serait trop volumineux de mettre ici l’ensemble des rapports et débats. Cela pourra faire l’objet d’un autre document. Je mets le dossier législatif qui permet de retrouver ces documents.</w:t>
      </w:r>
    </w:p>
    <w:p w14:paraId="208D9F2A" w14:textId="5B7491CA" w:rsidR="00D0451F" w:rsidRDefault="00D0451F" w:rsidP="00D0451F">
      <w:pPr>
        <w:pStyle w:val="Rfrence"/>
      </w:pPr>
      <w:r>
        <w:t xml:space="preserve">Pièce </w:t>
      </w:r>
      <w:r w:rsidR="008E748D">
        <w:t>6</w:t>
      </w:r>
      <w:r>
        <w:t>. Dossier législatif.</w:t>
      </w:r>
    </w:p>
    <w:p w14:paraId="2B95B447" w14:textId="2A0A1125" w:rsidR="00D0451F" w:rsidRPr="0097567D" w:rsidRDefault="00D0451F" w:rsidP="004446F9">
      <w:pPr>
        <w:pStyle w:val="Titre5"/>
      </w:pPr>
      <w:r>
        <w:t>La loi 78-4 du 2 janvier 1978.</w:t>
      </w:r>
    </w:p>
    <w:p w14:paraId="67CB3084" w14:textId="5FCE3FE8" w:rsidR="00012611" w:rsidRDefault="00D0451F" w:rsidP="00D0451F">
      <w:pPr>
        <w:pStyle w:val="Paragraphe12"/>
        <w:rPr>
          <w:rFonts w:eastAsia="Calibri"/>
        </w:rPr>
      </w:pPr>
      <w:r>
        <w:rPr>
          <w:rFonts w:eastAsia="Calibri"/>
        </w:rPr>
        <w:t>La l</w:t>
      </w:r>
      <w:r w:rsidR="001E7497">
        <w:rPr>
          <w:rFonts w:eastAsia="Calibri"/>
        </w:rPr>
        <w:t>oi 78-4 du 2 janvier 1978</w:t>
      </w:r>
      <w:r>
        <w:rPr>
          <w:rFonts w:eastAsia="Calibri"/>
        </w:rPr>
        <w:t xml:space="preserve"> paraît au journal officiel du 3 janvier 1978</w:t>
      </w:r>
      <w:r w:rsidR="00BF59D7">
        <w:rPr>
          <w:rFonts w:eastAsia="Calibri"/>
        </w:rPr>
        <w:t>.</w:t>
      </w:r>
      <w:r w:rsidR="00BF59D7" w:rsidRPr="00BF59D7">
        <w:rPr>
          <w:rFonts w:eastAsia="Calibri"/>
        </w:rPr>
        <w:t xml:space="preserve"> </w:t>
      </w:r>
      <w:r>
        <w:rPr>
          <w:rFonts w:eastAsia="Calibri"/>
        </w:rPr>
        <w:t>Le d</w:t>
      </w:r>
      <w:r w:rsidR="00BF59D7">
        <w:rPr>
          <w:rFonts w:eastAsia="Calibri"/>
        </w:rPr>
        <w:t xml:space="preserve">écret d’application </w:t>
      </w:r>
      <w:r>
        <w:rPr>
          <w:rFonts w:eastAsia="Calibri"/>
        </w:rPr>
        <w:t xml:space="preserve">n° </w:t>
      </w:r>
      <w:r w:rsidR="00BF59D7">
        <w:rPr>
          <w:rFonts w:eastAsia="Calibri"/>
        </w:rPr>
        <w:t xml:space="preserve">79-607 </w:t>
      </w:r>
      <w:r>
        <w:rPr>
          <w:rFonts w:eastAsia="Calibri"/>
        </w:rPr>
        <w:t>n’interviendra que le</w:t>
      </w:r>
      <w:r w:rsidR="00BF59D7">
        <w:rPr>
          <w:rFonts w:eastAsia="Calibri"/>
        </w:rPr>
        <w:t xml:space="preserve"> 3 juillet 1979</w:t>
      </w:r>
    </w:p>
    <w:p w14:paraId="1795A7FC" w14:textId="5183E16E" w:rsidR="005E4E0D" w:rsidRPr="00D0451F" w:rsidRDefault="005E4E0D" w:rsidP="005E4E0D">
      <w:pPr>
        <w:pStyle w:val="Paragraphe12"/>
        <w:rPr>
          <w:rFonts w:eastAsia="Calibri"/>
          <w:u w:val="single"/>
          <w:lang w:eastAsia="en-US"/>
        </w:rPr>
      </w:pPr>
      <w:r w:rsidRPr="00D0451F">
        <w:rPr>
          <w:rFonts w:eastAsia="Calibri"/>
          <w:u w:val="single"/>
          <w:lang w:eastAsia="en-US"/>
        </w:rPr>
        <w:t>Particularités du régime :</w:t>
      </w:r>
    </w:p>
    <w:p w14:paraId="4B6C17D2" w14:textId="42412991" w:rsidR="005E4E0D" w:rsidRDefault="005E4E0D" w:rsidP="005E4E0D">
      <w:pPr>
        <w:pStyle w:val="listepucescitation"/>
      </w:pPr>
      <w:r>
        <w:t>Assujettissement sur le fondement de la “qualité” et non de “l’activité” (L 721-1, devenu L 382-15).</w:t>
      </w:r>
    </w:p>
    <w:p w14:paraId="58E471CC" w14:textId="3D127A26" w:rsidR="00FB6158" w:rsidRDefault="00FB6158" w:rsidP="005E4E0D">
      <w:pPr>
        <w:pStyle w:val="listepucescitation"/>
      </w:pPr>
      <w:r>
        <w:t>Régime réduit (loi art. 1).</w:t>
      </w:r>
    </w:p>
    <w:p w14:paraId="08E4C991" w14:textId="7CC4210E" w:rsidR="00FB6158" w:rsidRDefault="00FB6158" w:rsidP="005E4E0D">
      <w:pPr>
        <w:pStyle w:val="listepucescitation"/>
      </w:pPr>
      <w:r>
        <w:t>Existence d’une commission consultative.</w:t>
      </w:r>
    </w:p>
    <w:p w14:paraId="6A582288" w14:textId="30FB9AC0" w:rsidR="005E4E0D" w:rsidRDefault="005E4E0D" w:rsidP="005E4E0D">
      <w:pPr>
        <w:pStyle w:val="listepucescitation"/>
      </w:pPr>
      <w:r>
        <w:t>Régime subsidiaire (L 721-1, devenu L 382-15)</w:t>
      </w:r>
      <w:r w:rsidR="00FB6158">
        <w:t>, mais affiliation si revenus annuels d’une autre activité inférieurs à 800 fois la valeur du SMIC. (Remarque : attention : période 1999-2003)</w:t>
      </w:r>
    </w:p>
    <w:p w14:paraId="62AE9ABF" w14:textId="1BED30D2" w:rsidR="005E4E0D" w:rsidRDefault="005E4E0D" w:rsidP="005E4E0D">
      <w:pPr>
        <w:pStyle w:val="listepucescitation"/>
      </w:pPr>
      <w:r>
        <w:t>Prise en compte des années antérieures au 1</w:t>
      </w:r>
      <w:r w:rsidRPr="005E4E0D">
        <w:rPr>
          <w:vertAlign w:val="superscript"/>
        </w:rPr>
        <w:t>er</w:t>
      </w:r>
      <w:r>
        <w:t xml:space="preserve"> janvier 1979 (loi 78-4, art. </w:t>
      </w:r>
      <w:r w:rsidR="00CB1885">
        <w:t>3</w:t>
      </w:r>
      <w:r>
        <w:t xml:space="preserve">, </w:t>
      </w:r>
      <w:r w:rsidR="00CB1885">
        <w:t>décret, art. 40, 41, 42</w:t>
      </w:r>
      <w:r>
        <w:t>).</w:t>
      </w:r>
    </w:p>
    <w:p w14:paraId="49498EAE" w14:textId="1F46F588" w:rsidR="005E4E0D" w:rsidRDefault="005E4E0D" w:rsidP="005E4E0D">
      <w:pPr>
        <w:pStyle w:val="listepucescitation"/>
      </w:pPr>
      <w:r>
        <w:t>Cotisation d’équilibre</w:t>
      </w:r>
      <w:r w:rsidR="00FC1692">
        <w:t>, dite “cotisation de solidarité”</w:t>
      </w:r>
      <w:r w:rsidR="00CB1885">
        <w:t xml:space="preserve"> (loi, art. 6 ; décret, art. 25).</w:t>
      </w:r>
    </w:p>
    <w:p w14:paraId="313AA4A4" w14:textId="6B849A6F" w:rsidR="00CB1885" w:rsidRDefault="00CB1885" w:rsidP="005E4E0D">
      <w:pPr>
        <w:pStyle w:val="listepucescitation"/>
      </w:pPr>
      <w:r>
        <w:t>Gestion par la CAPA durant l’année 1979 (décret art. 59).</w:t>
      </w:r>
    </w:p>
    <w:p w14:paraId="592591FA" w14:textId="0A3DD524" w:rsidR="00940880" w:rsidRDefault="00940880" w:rsidP="005E4E0D">
      <w:pPr>
        <w:pStyle w:val="listepucescitation"/>
      </w:pPr>
      <w:r>
        <w:t xml:space="preserve">Création de deux Caisses : Camac et </w:t>
      </w:r>
      <w:r w:rsidR="00716745">
        <w:t>Camavic.</w:t>
      </w:r>
    </w:p>
    <w:p w14:paraId="01268B17" w14:textId="14CF4DF0" w:rsidR="00FC1692" w:rsidRDefault="00FC1692" w:rsidP="005E4E0D">
      <w:pPr>
        <w:pStyle w:val="listepucescitation"/>
      </w:pPr>
      <w:r>
        <w:t>Un régime non paritaire.</w:t>
      </w:r>
    </w:p>
    <w:p w14:paraId="37BDEAD0" w14:textId="7036B27C" w:rsidR="00D0451F" w:rsidRDefault="00D0451F" w:rsidP="00D0451F">
      <w:pPr>
        <w:pStyle w:val="Rfrence"/>
      </w:pPr>
      <w:r>
        <w:t xml:space="preserve">Pièce </w:t>
      </w:r>
      <w:r w:rsidR="008E748D">
        <w:t>7</w:t>
      </w:r>
      <w:r>
        <w:t>. Loi 78-4 du 2 janvier 1978.</w:t>
      </w:r>
    </w:p>
    <w:p w14:paraId="0BE5F6EC" w14:textId="6D3D8C45" w:rsidR="00D0451F" w:rsidRDefault="00D0451F" w:rsidP="00D0451F">
      <w:pPr>
        <w:pStyle w:val="Rfrence"/>
      </w:pPr>
      <w:r>
        <w:t xml:space="preserve">Pièce </w:t>
      </w:r>
      <w:r w:rsidR="008E748D">
        <w:t>8</w:t>
      </w:r>
      <w:r>
        <w:t>. Décret 79-607 du 3 juillet 1979</w:t>
      </w:r>
    </w:p>
    <w:p w14:paraId="38817973" w14:textId="745B4A42" w:rsidR="0099648E" w:rsidRDefault="007213AF" w:rsidP="00E838B1">
      <w:pPr>
        <w:pStyle w:val="Paragraphe12"/>
      </w:pPr>
      <w:r>
        <w:t>Il convient de noter que</w:t>
      </w:r>
      <w:r w:rsidR="00E838B1">
        <w:t>, d’une part,</w:t>
      </w:r>
      <w:r>
        <w:t xml:space="preserve"> l</w:t>
      </w:r>
      <w:r w:rsidRPr="00AB4633">
        <w:t xml:space="preserve">e législateur n’a pas défini les notions </w:t>
      </w:r>
      <w:r>
        <w:t xml:space="preserve">de </w:t>
      </w:r>
      <w:r w:rsidR="0099648E">
        <w:t>“</w:t>
      </w:r>
      <w:r>
        <w:t>ministre du culte</w:t>
      </w:r>
      <w:r w:rsidR="0099648E">
        <w:t>”</w:t>
      </w:r>
      <w:r>
        <w:t xml:space="preserve">, </w:t>
      </w:r>
      <w:r w:rsidR="0099648E">
        <w:t>“</w:t>
      </w:r>
      <w:r>
        <w:t>membre de congrégation ou de collectivité religieuse</w:t>
      </w:r>
      <w:r w:rsidR="0099648E">
        <w:t>”</w:t>
      </w:r>
      <w:r>
        <w:t xml:space="preserve"> </w:t>
      </w:r>
      <w:r w:rsidRPr="00AB4633">
        <w:t xml:space="preserve">de l’article </w:t>
      </w:r>
      <w:r w:rsidR="008E748D">
        <w:t xml:space="preserve">L 721-1 (devenu </w:t>
      </w:r>
      <w:r w:rsidRPr="00AB4633">
        <w:t>L 382-15</w:t>
      </w:r>
      <w:r w:rsidR="008E748D">
        <w:t>)</w:t>
      </w:r>
      <w:r w:rsidRPr="00AB4633">
        <w:t xml:space="preserve"> CSS, car il ne peut pas s’immiscer dans l’organisation</w:t>
      </w:r>
      <w:r>
        <w:t xml:space="preserve"> interne des cultes et que</w:t>
      </w:r>
      <w:r w:rsidR="00E838B1">
        <w:t>, d’autre part,</w:t>
      </w:r>
      <w:r>
        <w:t xml:space="preserve"> ceux-ci </w:t>
      </w:r>
      <w:r w:rsidRPr="00480C2E">
        <w:t xml:space="preserve">ne peuvent pas </w:t>
      </w:r>
      <w:r w:rsidR="0099648E">
        <w:t>définir ces notions</w:t>
      </w:r>
      <w:r>
        <w:t xml:space="preserve"> par</w:t>
      </w:r>
      <w:r w:rsidRPr="00480C2E">
        <w:t xml:space="preserve"> leurs propres règles religieuses</w:t>
      </w:r>
      <w:r>
        <w:t xml:space="preserve">, car </w:t>
      </w:r>
      <w:r w:rsidRPr="00480C2E">
        <w:t>il s’agit d</w:t>
      </w:r>
      <w:r>
        <w:t>’un</w:t>
      </w:r>
      <w:r w:rsidRPr="00480C2E">
        <w:t xml:space="preserve"> droit </w:t>
      </w:r>
      <w:r>
        <w:t>civil. Ces notions reposent</w:t>
      </w:r>
      <w:r w:rsidRPr="00E95BFE">
        <w:t xml:space="preserve"> </w:t>
      </w:r>
      <w:r>
        <w:t xml:space="preserve">donc </w:t>
      </w:r>
      <w:r w:rsidRPr="00E95BFE">
        <w:t>sur des éléments objectifs</w:t>
      </w:r>
      <w:r>
        <w:t xml:space="preserve"> : </w:t>
      </w:r>
      <w:r w:rsidRPr="00AB4633">
        <w:t>activité religieuse, vie en communauté</w:t>
      </w:r>
      <w:r w:rsidR="0099648E">
        <w:t>, etc</w:t>
      </w:r>
      <w:r w:rsidR="008E748D">
        <w:t>.</w:t>
      </w:r>
    </w:p>
    <w:p w14:paraId="5FC2B85B" w14:textId="60728E9A" w:rsidR="00D0451F" w:rsidRDefault="0099648E" w:rsidP="00E838B1">
      <w:pPr>
        <w:pStyle w:val="Paragraphe12"/>
      </w:pPr>
      <w:r>
        <w:t>Durant</w:t>
      </w:r>
      <w:r w:rsidR="005879F1">
        <w:t xml:space="preserve"> l’année 1979, la Camac et la Camavic </w:t>
      </w:r>
      <w:r>
        <w:t xml:space="preserve">ont été </w:t>
      </w:r>
      <w:r w:rsidR="005879F1">
        <w:t>gérées par la CAPA</w:t>
      </w:r>
      <w:r w:rsidR="00A31104">
        <w:t xml:space="preserve"> et l’EMI</w:t>
      </w:r>
      <w:r w:rsidR="005879F1">
        <w:t xml:space="preserve"> (</w:t>
      </w:r>
      <w:r>
        <w:t xml:space="preserve">décret 79-607, </w:t>
      </w:r>
      <w:r w:rsidR="005879F1">
        <w:t>art.</w:t>
      </w:r>
      <w:r w:rsidR="00A31104">
        <w:t xml:space="preserve"> 59).</w:t>
      </w:r>
      <w:r w:rsidR="005879F1">
        <w:t xml:space="preserve"> </w:t>
      </w:r>
      <w:r w:rsidR="00DA0429">
        <w:t xml:space="preserve">C’est au </w:t>
      </w:r>
      <w:r w:rsidR="00FB7A6D">
        <w:t>1</w:t>
      </w:r>
      <w:r w:rsidR="00FB7A6D" w:rsidRPr="00FB7A6D">
        <w:rPr>
          <w:vertAlign w:val="superscript"/>
        </w:rPr>
        <w:t>er</w:t>
      </w:r>
      <w:r w:rsidR="00FB7A6D">
        <w:t xml:space="preserve"> </w:t>
      </w:r>
      <w:r w:rsidR="00DA0429">
        <w:t xml:space="preserve">janvier 1980 </w:t>
      </w:r>
      <w:r>
        <w:t>qu’elles sont gérées</w:t>
      </w:r>
      <w:r w:rsidR="00DA0429">
        <w:t xml:space="preserve"> par </w:t>
      </w:r>
      <w:r>
        <w:t>leurs</w:t>
      </w:r>
      <w:r w:rsidR="00DA0429">
        <w:t xml:space="preserve"> administrateurs</w:t>
      </w:r>
      <w:r w:rsidR="005879F1">
        <w:t xml:space="preserve"> </w:t>
      </w:r>
      <w:r w:rsidR="00FB7A6D">
        <w:t>(</w:t>
      </w:r>
      <w:r>
        <w:t>et</w:t>
      </w:r>
      <w:r w:rsidR="005879F1">
        <w:t xml:space="preserve"> s’installe</w:t>
      </w:r>
      <w:r>
        <w:t>nt</w:t>
      </w:r>
      <w:r w:rsidR="005879F1">
        <w:t xml:space="preserve"> dans les locaux de la CAPA).</w:t>
      </w:r>
    </w:p>
    <w:p w14:paraId="759977DB" w14:textId="4F2FA898" w:rsidR="00D0451F" w:rsidRDefault="00D0451F" w:rsidP="00D0451F">
      <w:pPr>
        <w:pStyle w:val="Rfrence"/>
      </w:pPr>
      <w:r>
        <w:t xml:space="preserve">Pièce </w:t>
      </w:r>
      <w:r w:rsidR="008E748D">
        <w:t>9</w:t>
      </w:r>
      <w:r>
        <w:t>. Décret nomination des administrateurs du 12 décembre 1979.</w:t>
      </w:r>
    </w:p>
    <w:p w14:paraId="1B70E881" w14:textId="4CFEC7CA" w:rsidR="00D0451F" w:rsidRDefault="00D0451F" w:rsidP="00D0451F">
      <w:pPr>
        <w:pStyle w:val="Paragraphe12"/>
      </w:pPr>
      <w:r>
        <w:t>Les actifs de la CAPA et de l’EMI sont transférés à la Camavic en 1980. (art. 62 du décret 79-607).</w:t>
      </w:r>
    </w:p>
    <w:p w14:paraId="55944C5E" w14:textId="0CE66AB1" w:rsidR="00D0451F" w:rsidRDefault="00D0451F" w:rsidP="00D0451F">
      <w:pPr>
        <w:pStyle w:val="Rfrence"/>
      </w:pPr>
      <w:r>
        <w:t xml:space="preserve">Pièce </w:t>
      </w:r>
      <w:r w:rsidR="008E748D">
        <w:t>10</w:t>
      </w:r>
      <w:r>
        <w:t>. Inventaire des actifs CAPA et EMI au 31 décembre 1979.</w:t>
      </w:r>
    </w:p>
    <w:p w14:paraId="070304C7" w14:textId="55BC7F9F" w:rsidR="001F1AA1" w:rsidRDefault="00E838B1" w:rsidP="00AC7EC6">
      <w:pPr>
        <w:pStyle w:val="Paragrretrait1"/>
      </w:pPr>
      <w:r>
        <w:t>N</w:t>
      </w:r>
      <w:r w:rsidR="006940B6">
        <w:t>B. L</w:t>
      </w:r>
      <w:r w:rsidR="00D0451F" w:rsidRPr="00D0451F">
        <w:t>’</w:t>
      </w:r>
      <w:r w:rsidR="006940B6">
        <w:t>Association Pour une Retraite Convenable (</w:t>
      </w:r>
      <w:r w:rsidR="00D0451F" w:rsidRPr="00D0451F">
        <w:t>APRC</w:t>
      </w:r>
      <w:r w:rsidR="006940B6">
        <w:t xml:space="preserve">) </w:t>
      </w:r>
      <w:r w:rsidR="00B6189C">
        <w:t>a été</w:t>
      </w:r>
      <w:r w:rsidR="006940B6">
        <w:t xml:space="preserve"> créée </w:t>
      </w:r>
      <w:r w:rsidR="002C6A49">
        <w:t>le 7 mai</w:t>
      </w:r>
      <w:r w:rsidR="006940B6">
        <w:t xml:space="preserve"> 1978 par d’anciens ministres du culte (AMC). Son but est la prise en compte des années d’activité religieuses des AMC antérieures à </w:t>
      </w:r>
      <w:r w:rsidR="00D0451F" w:rsidRPr="00D0451F">
        <w:t xml:space="preserve">1979 </w:t>
      </w:r>
      <w:r w:rsidR="006940B6">
        <w:t>et un complément de retraite au prorata des années de service.</w:t>
      </w:r>
    </w:p>
    <w:p w14:paraId="34341D6A" w14:textId="501A6133" w:rsidR="00DA0429" w:rsidRDefault="001F1AA1" w:rsidP="0099648E">
      <w:pPr>
        <w:pStyle w:val="Paragrretrait1"/>
      </w:pPr>
      <w:r>
        <w:t xml:space="preserve">L’Association </w:t>
      </w:r>
      <w:r w:rsidR="007A5806">
        <w:t>Protection sociale et Caisse des Cultes (</w:t>
      </w:r>
      <w:r w:rsidR="007A5806" w:rsidRPr="00D0451F">
        <w:t>APSECC</w:t>
      </w:r>
      <w:r w:rsidR="007A5806">
        <w:t xml:space="preserve">) </w:t>
      </w:r>
      <w:r w:rsidR="00B6189C">
        <w:t xml:space="preserve">a été </w:t>
      </w:r>
      <w:r w:rsidR="007A5806">
        <w:t>créée le 31 mars 1979 par de prêtres et religieux qui demandent l’intégration au régime général.</w:t>
      </w:r>
    </w:p>
    <w:p w14:paraId="1E017837" w14:textId="77777777" w:rsidR="00AC7EC6" w:rsidRDefault="00AC7EC6">
      <w:pPr>
        <w:spacing w:before="0"/>
        <w:rPr>
          <w:rFonts w:ascii="Arial Narrow" w:eastAsia="Calibri" w:hAnsi="Arial Narrow"/>
          <w:b/>
          <w:caps/>
          <w:sz w:val="22"/>
          <w:szCs w:val="22"/>
          <w:u w:val="single"/>
          <w:lang w:eastAsia="fr-FR"/>
        </w:rPr>
      </w:pPr>
      <w:r>
        <w:br w:type="page"/>
      </w:r>
    </w:p>
    <w:p w14:paraId="1501D21A" w14:textId="6B28F9BB" w:rsidR="00CC46FA" w:rsidRDefault="00CC46FA" w:rsidP="00F73C53">
      <w:pPr>
        <w:pStyle w:val="Titre1"/>
      </w:pPr>
      <w:r>
        <w:lastRenderedPageBreak/>
        <w:t xml:space="preserve">le culte </w:t>
      </w:r>
      <w:r w:rsidRPr="00F73C53">
        <w:t>catholique</w:t>
      </w:r>
      <w:r>
        <w:t xml:space="preserve"> impose sa loi</w:t>
      </w:r>
    </w:p>
    <w:p w14:paraId="03DD52E8" w14:textId="75785165" w:rsidR="00D90730" w:rsidRPr="00D90730" w:rsidRDefault="00D90730" w:rsidP="00D90730">
      <w:pPr>
        <w:pStyle w:val="Corpsdetexte"/>
        <w:rPr>
          <w:lang w:eastAsia="fr-FR"/>
        </w:rPr>
      </w:pPr>
      <w:r>
        <w:rPr>
          <w:lang w:eastAsia="fr-FR"/>
        </w:rPr>
        <w:t xml:space="preserve">Alors que la loi 78-4 définit un droit civil et se situe dans le cadre de la généralisation de la sécurité sociale à tous les Français, le culte catholique va se situer dans le cadre de la loi de 1905 et considérer qu’elle concerne l’organisation </w:t>
      </w:r>
      <w:r w:rsidR="0099648E">
        <w:rPr>
          <w:lang w:eastAsia="fr-FR"/>
        </w:rPr>
        <w:t xml:space="preserve">interne </w:t>
      </w:r>
      <w:r>
        <w:rPr>
          <w:lang w:eastAsia="fr-FR"/>
        </w:rPr>
        <w:t xml:space="preserve">des cultes. Il va donc définir des critères d’affiliation. </w:t>
      </w:r>
    </w:p>
    <w:p w14:paraId="33DD9D87" w14:textId="30A9EC2B" w:rsidR="00DA0429" w:rsidRDefault="00CC46FA" w:rsidP="00012611">
      <w:pPr>
        <w:pStyle w:val="Paragraphe12"/>
        <w:rPr>
          <w:rFonts w:eastAsia="Calibri"/>
        </w:rPr>
      </w:pPr>
      <w:r>
        <w:rPr>
          <w:rFonts w:eastAsia="Calibri"/>
          <w:b/>
          <w:bCs/>
        </w:rPr>
        <w:t>1980-</w:t>
      </w:r>
      <w:r w:rsidR="00DA0429" w:rsidRPr="00DA0429">
        <w:rPr>
          <w:rFonts w:eastAsia="Calibri"/>
          <w:b/>
          <w:bCs/>
        </w:rPr>
        <w:t>1981</w:t>
      </w:r>
      <w:r w:rsidR="00DA0429">
        <w:rPr>
          <w:rFonts w:eastAsia="Calibri"/>
        </w:rPr>
        <w:t xml:space="preserve">. </w:t>
      </w:r>
    </w:p>
    <w:p w14:paraId="31ACD9C1" w14:textId="6C6D9191" w:rsidR="00012611" w:rsidRDefault="00CC46FA" w:rsidP="0099648E">
      <w:pPr>
        <w:pStyle w:val="Paragraphe12"/>
      </w:pPr>
      <w:r>
        <w:t xml:space="preserve">Le 20 avril 1980, le culte catholique énonce ses règles d’affiliation (pièce 11). </w:t>
      </w:r>
      <w:r w:rsidR="008746C9">
        <w:t>Le</w:t>
      </w:r>
      <w:r>
        <w:t xml:space="preserve"> 19 mai 1980, la Cavimac les entérine (12). </w:t>
      </w:r>
      <w:r w:rsidR="008746C9">
        <w:t>E</w:t>
      </w:r>
      <w:r>
        <w:t>n 1981, le culte catholique affirme que lui seul peut déterminer qui doit être affilié (13)</w:t>
      </w:r>
      <w:r w:rsidR="00FC1692">
        <w:t>.</w:t>
      </w:r>
    </w:p>
    <w:p w14:paraId="73E5D2CB" w14:textId="12D4089E" w:rsidR="00CC46FA" w:rsidRDefault="003B6A6F" w:rsidP="00165A9A">
      <w:pPr>
        <w:pStyle w:val="Rfrence"/>
      </w:pPr>
      <w:r>
        <w:t>Pièce 1</w:t>
      </w:r>
      <w:r w:rsidR="008E748D">
        <w:t>1</w:t>
      </w:r>
      <w:r>
        <w:t>.</w:t>
      </w:r>
      <w:r w:rsidR="008E748D">
        <w:t xml:space="preserve"> </w:t>
      </w:r>
      <w:r w:rsidR="00CC46FA">
        <w:t>Circulaire de l’épiscopat du 2</w:t>
      </w:r>
      <w:r w:rsidR="00542297">
        <w:t>4</w:t>
      </w:r>
      <w:r w:rsidR="00CC46FA">
        <w:t xml:space="preserve"> avril 1980.</w:t>
      </w:r>
    </w:p>
    <w:p w14:paraId="164B171B" w14:textId="7FF1DEB8" w:rsidR="00CC46FA" w:rsidRPr="00CC46FA" w:rsidRDefault="003B6A6F" w:rsidP="00165A9A">
      <w:pPr>
        <w:pStyle w:val="Rfrence"/>
      </w:pPr>
      <w:r>
        <w:t>Pièce 1</w:t>
      </w:r>
      <w:r w:rsidR="008E748D">
        <w:t>2</w:t>
      </w:r>
      <w:r>
        <w:t xml:space="preserve">. </w:t>
      </w:r>
      <w:r w:rsidR="00CC46FA">
        <w:t>Circulaire de la Camavic du 19 mai 1980.</w:t>
      </w:r>
    </w:p>
    <w:p w14:paraId="68E1AA70" w14:textId="5D340247" w:rsidR="00FC1692" w:rsidRDefault="003B6A6F" w:rsidP="00165A9A">
      <w:pPr>
        <w:pStyle w:val="Rfrence"/>
      </w:pPr>
      <w:r>
        <w:t>Pièce 1</w:t>
      </w:r>
      <w:r w:rsidR="008E748D">
        <w:t>3</w:t>
      </w:r>
      <w:r>
        <w:t xml:space="preserve">. </w:t>
      </w:r>
      <w:r w:rsidR="00DA0429" w:rsidRPr="003B57CA">
        <w:t>Courriers Camavic-</w:t>
      </w:r>
      <w:r w:rsidR="00DA0429" w:rsidRPr="003B57CA">
        <w:rPr>
          <w:iCs/>
        </w:rPr>
        <w:t>Épiscopat</w:t>
      </w:r>
      <w:r w:rsidR="00DA0429" w:rsidRPr="003B57CA">
        <w:t>. 9 et 14 décembre 1981.</w:t>
      </w:r>
    </w:p>
    <w:p w14:paraId="17DEFFFC" w14:textId="0E1042AC" w:rsidR="00DA0429" w:rsidRDefault="008746C9" w:rsidP="00CC46FA">
      <w:pPr>
        <w:pStyle w:val="Paragraphe12"/>
      </w:pPr>
      <w:r>
        <w:t>Craignant que les années d’exercice antérieures à 1979 ne soient pas prise</w:t>
      </w:r>
      <w:r w:rsidR="0099648E">
        <w:t>s</w:t>
      </w:r>
      <w:r>
        <w:t xml:space="preserve"> en compte pour les anciens prêtres et religieux, l</w:t>
      </w:r>
      <w:r w:rsidR="00DA0429">
        <w:t xml:space="preserve">’APRC </w:t>
      </w:r>
      <w:r w:rsidR="00A57483">
        <w:t>demande l’annulation du décret</w:t>
      </w:r>
      <w:r w:rsidR="0099648E">
        <w:t xml:space="preserve"> et conteste la composition du conseil d’administration</w:t>
      </w:r>
      <w:r w:rsidR="00A57483">
        <w:t>. Le Conseil d’État dit que les périodes d’activité des anciens ministres du culte sont prises en compte, mais valide le mode de désignation des administrateurs de la Caisse.</w:t>
      </w:r>
    </w:p>
    <w:p w14:paraId="787EC2D3" w14:textId="014BAADD" w:rsidR="00CC46FA" w:rsidRDefault="003B6A6F" w:rsidP="00165A9A">
      <w:pPr>
        <w:pStyle w:val="Rfrence"/>
      </w:pPr>
      <w:r>
        <w:t>Pièce 1</w:t>
      </w:r>
      <w:r w:rsidR="008E748D">
        <w:t>4</w:t>
      </w:r>
      <w:r>
        <w:t xml:space="preserve">. </w:t>
      </w:r>
      <w:r w:rsidR="00CC46FA">
        <w:t>Décision du Conseil d’État du 25 mars 1981.</w:t>
      </w:r>
    </w:p>
    <w:p w14:paraId="2A1918B8" w14:textId="77777777" w:rsidR="00181335" w:rsidRDefault="00162C9A" w:rsidP="00012611">
      <w:pPr>
        <w:pStyle w:val="Paragraphe12"/>
        <w:rPr>
          <w:rFonts w:eastAsia="Calibri"/>
          <w:b/>
          <w:bCs/>
        </w:rPr>
      </w:pPr>
      <w:r w:rsidRPr="00CC46FA">
        <w:rPr>
          <w:rFonts w:eastAsia="Calibri"/>
          <w:b/>
          <w:bCs/>
        </w:rPr>
        <w:t>1986</w:t>
      </w:r>
      <w:r w:rsidR="00181335">
        <w:rPr>
          <w:rFonts w:eastAsia="Calibri"/>
          <w:b/>
          <w:bCs/>
        </w:rPr>
        <w:t>- 1993</w:t>
      </w:r>
    </w:p>
    <w:p w14:paraId="7EAC7624" w14:textId="747B288E" w:rsidR="00162C9A" w:rsidRDefault="00CC46FA" w:rsidP="005C4A33">
      <w:pPr>
        <w:pStyle w:val="Paragrretrait1"/>
      </w:pPr>
      <w:r>
        <w:t xml:space="preserve">La </w:t>
      </w:r>
      <w:r w:rsidR="00162C9A">
        <w:t>Cour des comptes</w:t>
      </w:r>
      <w:r>
        <w:t xml:space="preserve"> demande </w:t>
      </w:r>
      <w:r w:rsidRPr="003B6A6F">
        <w:rPr>
          <w:i/>
          <w:iCs/>
        </w:rPr>
        <w:t>« de préciser les critères objectifs de la qualité de ministre du culte ».</w:t>
      </w:r>
    </w:p>
    <w:p w14:paraId="3211AF91" w14:textId="7D8BDF59" w:rsidR="00CC46FA" w:rsidRDefault="003B6A6F" w:rsidP="00165A9A">
      <w:pPr>
        <w:pStyle w:val="Rfrence"/>
      </w:pPr>
      <w:r>
        <w:t>Pièce 1</w:t>
      </w:r>
      <w:r w:rsidR="008E748D">
        <w:t>5</w:t>
      </w:r>
      <w:r>
        <w:t xml:space="preserve">. </w:t>
      </w:r>
      <w:r w:rsidR="00CC46FA">
        <w:t>Courrier du Conseil d’État à la Cavimac.</w:t>
      </w:r>
      <w:r w:rsidR="00181335">
        <w:t xml:space="preserve"> 21 janvier 1987.</w:t>
      </w:r>
    </w:p>
    <w:p w14:paraId="502850A2" w14:textId="176C3133" w:rsidR="00181335" w:rsidRDefault="00181335" w:rsidP="005C4A33">
      <w:pPr>
        <w:pStyle w:val="Paragrretrait1"/>
      </w:pPr>
      <w:r>
        <w:t>La CSM indique que la notion de collectivité religieuse ne concerne pas le culte catholique.</w:t>
      </w:r>
    </w:p>
    <w:p w14:paraId="2CA83304" w14:textId="12A9BD01" w:rsidR="00181335" w:rsidRDefault="003B6A6F" w:rsidP="00165A9A">
      <w:pPr>
        <w:pStyle w:val="Rfrence"/>
      </w:pPr>
      <w:r>
        <w:t>Pièce 1</w:t>
      </w:r>
      <w:r w:rsidR="008E748D">
        <w:t>6</w:t>
      </w:r>
      <w:r>
        <w:t xml:space="preserve">. </w:t>
      </w:r>
      <w:r w:rsidR="00181335">
        <w:t>CSM. Courrier de la CSM à la Cavimac. 16 juillet 1987.</w:t>
      </w:r>
    </w:p>
    <w:p w14:paraId="33D65121" w14:textId="0E94F472" w:rsidR="00181335" w:rsidRDefault="00181335" w:rsidP="005C4A33">
      <w:pPr>
        <w:pStyle w:val="Paragrretrait1"/>
      </w:pPr>
      <w:r>
        <w:t>Dans sa circulaire du 16 mai 1988, la Cavimac rappelle les conditions d’assujettissement.</w:t>
      </w:r>
    </w:p>
    <w:p w14:paraId="037271EA" w14:textId="53073654" w:rsidR="00181335" w:rsidRDefault="003B6A6F" w:rsidP="00165A9A">
      <w:pPr>
        <w:pStyle w:val="Rfrence"/>
      </w:pPr>
      <w:r>
        <w:t>Pièce 1</w:t>
      </w:r>
      <w:r w:rsidR="008E748D">
        <w:t>7</w:t>
      </w:r>
      <w:r>
        <w:t xml:space="preserve">. </w:t>
      </w:r>
      <w:r w:rsidR="00181335">
        <w:t>Cavimac. Circulaire du 16 mai 1988.</w:t>
      </w:r>
    </w:p>
    <w:p w14:paraId="4E08252B" w14:textId="0B501D4E" w:rsidR="00181335" w:rsidRDefault="00181335" w:rsidP="005C4A33">
      <w:pPr>
        <w:pStyle w:val="Paragrretrait1"/>
      </w:pPr>
      <w:r>
        <w:t>Le 22 juin 1989, la Cavimac inscrit les règles d’affiliation dans son règlement intérieur.</w:t>
      </w:r>
    </w:p>
    <w:p w14:paraId="2170505E" w14:textId="067156E4" w:rsidR="00181335" w:rsidRDefault="003B6A6F" w:rsidP="00165A9A">
      <w:pPr>
        <w:pStyle w:val="Rfrence"/>
      </w:pPr>
      <w:r>
        <w:t>Pièce 1</w:t>
      </w:r>
      <w:r w:rsidR="008E748D">
        <w:t>8</w:t>
      </w:r>
      <w:r>
        <w:t xml:space="preserve">. </w:t>
      </w:r>
      <w:r w:rsidR="00181335">
        <w:t>Cavimac. Règlement intérieur 1989. Extraits.</w:t>
      </w:r>
    </w:p>
    <w:p w14:paraId="6ACB10CB" w14:textId="48978636" w:rsidR="00181335" w:rsidRDefault="002A7399" w:rsidP="005C4A33">
      <w:pPr>
        <w:pStyle w:val="Paragrretrait1"/>
      </w:pPr>
      <w:r>
        <w:t>Le</w:t>
      </w:r>
      <w:r w:rsidR="00181335">
        <w:t xml:space="preserve"> 16 octobre 1990, la Camavic </w:t>
      </w:r>
      <w:r w:rsidR="003B6A6F">
        <w:t xml:space="preserve">a </w:t>
      </w:r>
      <w:r w:rsidR="00181335">
        <w:t xml:space="preserve">fait reposer les conditions d’assujettissement sur </w:t>
      </w:r>
      <w:r w:rsidR="00E10898">
        <w:t>le</w:t>
      </w:r>
      <w:r w:rsidR="00181335">
        <w:t xml:space="preserve"> droit canon et rejet</w:t>
      </w:r>
      <w:r w:rsidR="00FC57B0">
        <w:t>é</w:t>
      </w:r>
      <w:r w:rsidR="00181335">
        <w:t xml:space="preserve"> l’affiliation des communautés catholiques </w:t>
      </w:r>
      <w:r w:rsidR="00E10898">
        <w:t xml:space="preserve">dites “nouvelles” au motif qu’elles ne </w:t>
      </w:r>
      <w:r w:rsidR="00181335">
        <w:t>sont pas des “instituts de vie consacrée”</w:t>
      </w:r>
      <w:r w:rsidR="00E10898">
        <w:t xml:space="preserve"> au sens du droit canon et que leurs membres n’émettent pas des “vœux” mais des “promesses”.</w:t>
      </w:r>
    </w:p>
    <w:p w14:paraId="5264E322" w14:textId="560C2851" w:rsidR="00E10898" w:rsidRDefault="003B6A6F" w:rsidP="00165A9A">
      <w:pPr>
        <w:pStyle w:val="Rfrence"/>
      </w:pPr>
      <w:r>
        <w:t>Pièce 1</w:t>
      </w:r>
      <w:r w:rsidR="008E748D">
        <w:t>9</w:t>
      </w:r>
      <w:r>
        <w:t xml:space="preserve">. </w:t>
      </w:r>
      <w:r w:rsidR="00E10898">
        <w:t>Cavimac. Circulaire du 16 octobre 1990.</w:t>
      </w:r>
    </w:p>
    <w:p w14:paraId="48A70CF3" w14:textId="642F6C99" w:rsidR="00E10898" w:rsidRDefault="00E10898" w:rsidP="005C4A33">
      <w:pPr>
        <w:pStyle w:val="Paragrretrait1"/>
      </w:pPr>
      <w:r>
        <w:t xml:space="preserve">La Cavimac a soumis sa circulaire du 16 octobre 1990 aux autorités catholiques. Celles-ci </w:t>
      </w:r>
      <w:r w:rsidR="00FC57B0">
        <w:t>ont répondu</w:t>
      </w:r>
      <w:r>
        <w:t xml:space="preserve"> en insistant sur le fait que la notion de collectivité religieuse ne concerne pas le culte catholique.</w:t>
      </w:r>
    </w:p>
    <w:p w14:paraId="55E2DA18" w14:textId="3089F11A" w:rsidR="00E10898" w:rsidRPr="00E10898" w:rsidRDefault="00EB16ED" w:rsidP="00165A9A">
      <w:pPr>
        <w:pStyle w:val="Rfrence"/>
      </w:pPr>
      <w:r>
        <w:t xml:space="preserve">Pièce </w:t>
      </w:r>
      <w:r w:rsidR="008E748D">
        <w:t>20</w:t>
      </w:r>
      <w:r>
        <w:t xml:space="preserve">. </w:t>
      </w:r>
      <w:r w:rsidR="00E10898">
        <w:t>CSM et CSMF. Courrier à la Camavic. 29 octobre 1990.</w:t>
      </w:r>
    </w:p>
    <w:p w14:paraId="559F299E" w14:textId="0B020558" w:rsidR="00E10898" w:rsidRDefault="00FC57B0" w:rsidP="005C4A33">
      <w:pPr>
        <w:pStyle w:val="Paragrretrait1"/>
      </w:pPr>
      <w:r>
        <w:t>L</w:t>
      </w:r>
      <w:r w:rsidR="00E10898">
        <w:t>es récalcitrants qui ont été affiliés avant les premiers vœux seront radiés !</w:t>
      </w:r>
    </w:p>
    <w:p w14:paraId="18CA54A3" w14:textId="2AEB4A6C" w:rsidR="00E10898" w:rsidRDefault="00EB16ED" w:rsidP="00165A9A">
      <w:pPr>
        <w:pStyle w:val="Rfrence"/>
      </w:pPr>
      <w:r>
        <w:t>Pièce 2</w:t>
      </w:r>
      <w:r w:rsidR="008E748D">
        <w:t>1</w:t>
      </w:r>
      <w:r>
        <w:t xml:space="preserve">. </w:t>
      </w:r>
      <w:r w:rsidR="009B57FD">
        <w:t>Cavimac circulaire du 16 décembre 199</w:t>
      </w:r>
      <w:r w:rsidR="004F5FAC">
        <w:t>4</w:t>
      </w:r>
      <w:r w:rsidR="009B57FD">
        <w:t>.</w:t>
      </w:r>
    </w:p>
    <w:p w14:paraId="665696B7" w14:textId="4DD07F0B" w:rsidR="00C41BFE" w:rsidRDefault="00C41BFE" w:rsidP="005C4A33">
      <w:pPr>
        <w:pStyle w:val="Paragrretrait1"/>
      </w:pPr>
      <w:r>
        <w:t xml:space="preserve">Ainsi, la </w:t>
      </w:r>
      <w:r w:rsidR="00EB16ED">
        <w:t xml:space="preserve">Camavic s’est considérée </w:t>
      </w:r>
      <w:r>
        <w:t>comme une institution relevant de l’organisation interne des cultes.</w:t>
      </w:r>
    </w:p>
    <w:p w14:paraId="0D0F6310" w14:textId="11A56CD4" w:rsidR="00EB16ED" w:rsidRDefault="00EB16ED" w:rsidP="005C4A33">
      <w:pPr>
        <w:pStyle w:val="Paragrretrait1"/>
      </w:pPr>
      <w:r>
        <w:t>Il convient de noter aussi que beaucoup d’institutions catholiques ne déclaraient leurs membres qu’à partir de 27 ans (</w:t>
      </w:r>
      <w:r w:rsidR="00CF768E">
        <w:t>même si l’intéressé avait prononcé des vœux</w:t>
      </w:r>
      <w:r>
        <w:t>)</w:t>
      </w:r>
      <w:r w:rsidR="00CF768E">
        <w:t xml:space="preserve">. </w:t>
      </w:r>
      <w:r>
        <w:t>À l’époque, il fallait obtenir 150 trimestres pour avoir le taux plein (37,5 ans)</w:t>
      </w:r>
      <w:r w:rsidR="00E838B1">
        <w:t xml:space="preserve"> à 65 ans</w:t>
      </w:r>
      <w:r>
        <w:t>. Elles considéraient qu’il était inutile d’inscrire leurs membres avant 27,5 ans !</w:t>
      </w:r>
    </w:p>
    <w:p w14:paraId="7AAACA1A" w14:textId="36861C44" w:rsidR="00CF768E" w:rsidRDefault="00EB16ED" w:rsidP="005C4A33">
      <w:pPr>
        <w:pStyle w:val="Paragrretrait1"/>
      </w:pPr>
      <w:r>
        <w:t>L</w:t>
      </w:r>
      <w:r w:rsidR="00CF768E">
        <w:t>a Camavic</w:t>
      </w:r>
      <w:r>
        <w:t xml:space="preserve"> a assigné la communauté de Saint-Jean (nombreux jeunes religieux dans ce cas). L’affaire est allée en Cour de </w:t>
      </w:r>
      <w:r w:rsidR="00CF768E">
        <w:t>cassation</w:t>
      </w:r>
      <w:r>
        <w:t> </w:t>
      </w:r>
      <w:r w:rsidR="00CF768E">
        <w:t>: 91-13.586 Publié, 92-12.474, 92-18.594 ; 92-15.595 ; 92-18.596 à 92-18.615).</w:t>
      </w:r>
    </w:p>
    <w:p w14:paraId="3B673096" w14:textId="60BE9BAE" w:rsidR="00CF768E" w:rsidRPr="00C41BFE" w:rsidRDefault="00EB16ED" w:rsidP="00165A9A">
      <w:pPr>
        <w:pStyle w:val="Rfrence"/>
      </w:pPr>
      <w:r>
        <w:t>Pièce 2</w:t>
      </w:r>
      <w:r w:rsidR="008E748D">
        <w:t>2</w:t>
      </w:r>
      <w:r>
        <w:t xml:space="preserve">. </w:t>
      </w:r>
      <w:r w:rsidR="00CF768E">
        <w:t>Cour de cassation. Arrêt Saint Jean. 91-13586.</w:t>
      </w:r>
      <w:r w:rsidR="009B320C">
        <w:t xml:space="preserve"> 10 novembre 1994.</w:t>
      </w:r>
    </w:p>
    <w:p w14:paraId="7E1B9023" w14:textId="475EF0B7" w:rsidR="00DF4DB8" w:rsidRPr="00DF4DB8" w:rsidRDefault="00C33DCD" w:rsidP="00DF4DB8">
      <w:pPr>
        <w:pStyle w:val="Paragraphe12"/>
        <w:rPr>
          <w:i/>
          <w:iCs/>
        </w:rPr>
      </w:pPr>
      <w:r>
        <w:rPr>
          <w:rFonts w:eastAsia="Calibri"/>
          <w:b/>
          <w:bCs/>
        </w:rPr>
        <w:lastRenderedPageBreak/>
        <w:t>À noter, quelques modifications légales :</w:t>
      </w:r>
    </w:p>
    <w:p w14:paraId="73AAC43D" w14:textId="0585064D" w:rsidR="00CC46FA" w:rsidRDefault="00DF4DB8" w:rsidP="00CC46FA">
      <w:pPr>
        <w:pStyle w:val="listepucescitation"/>
        <w:rPr>
          <w:i/>
          <w:iCs/>
        </w:rPr>
      </w:pPr>
      <w:r>
        <w:rPr>
          <w:b/>
          <w:bCs/>
        </w:rPr>
        <w:t>Concernant la Camac</w:t>
      </w:r>
      <w:r>
        <w:t>. Loi 87-588 du 30 juillet 1987, art 2</w:t>
      </w:r>
      <w:r w:rsidR="00FC57B0">
        <w:t> :</w:t>
      </w:r>
      <w:r>
        <w:t xml:space="preserve"> </w:t>
      </w:r>
      <w:r w:rsidRPr="00DF4DB8">
        <w:rPr>
          <w:i/>
          <w:iCs/>
        </w:rPr>
        <w:t>les charges sont couvertes par […] 3. En tant que de besoin par une contribution du régime général.</w:t>
      </w:r>
    </w:p>
    <w:p w14:paraId="55D7FE63" w14:textId="0F82A2B4" w:rsidR="00DF4DB8" w:rsidRPr="00DF4DB8" w:rsidRDefault="00DF4DB8" w:rsidP="00DF4DB8">
      <w:pPr>
        <w:pStyle w:val="listepucescitation"/>
      </w:pPr>
      <w:r w:rsidRPr="00DF4DB8">
        <w:rPr>
          <w:b/>
          <w:bCs/>
        </w:rPr>
        <w:t>Concernant la Camavic</w:t>
      </w:r>
      <w:r w:rsidRPr="00DF4DB8">
        <w:t xml:space="preserve"> : La loi n° 97-1164 du 19 décembre 1997 (article 19) : les réserves financières gérées par la Camavic ont été transférées au régime général, les taux des cotisations ont été relevés et alignés sur ceux du régime général, les règles de liquidation des pensions </w:t>
      </w:r>
      <w:r w:rsidR="00C33DCD" w:rsidRPr="00DF4DB8">
        <w:t xml:space="preserve">(pour les périodes </w:t>
      </w:r>
      <w:r w:rsidR="00C33DCD">
        <w:t xml:space="preserve">d’activité </w:t>
      </w:r>
      <w:r w:rsidR="00C33DCD" w:rsidRPr="00DF4DB8">
        <w:t>postérieures au 1</w:t>
      </w:r>
      <w:r w:rsidR="00C33DCD" w:rsidRPr="00FC57B0">
        <w:rPr>
          <w:vertAlign w:val="superscript"/>
        </w:rPr>
        <w:t>er</w:t>
      </w:r>
      <w:r w:rsidR="00C33DCD">
        <w:t xml:space="preserve"> </w:t>
      </w:r>
      <w:r w:rsidR="00C33DCD" w:rsidRPr="00DF4DB8">
        <w:t>janvier 1998</w:t>
      </w:r>
      <w:r w:rsidR="00C33DCD">
        <w:t>)</w:t>
      </w:r>
      <w:r w:rsidR="00A2776E">
        <w:t xml:space="preserve"> </w:t>
      </w:r>
      <w:r w:rsidR="00FC57B0" w:rsidRPr="00DF4DB8">
        <w:t>ont été alignées sur celles du régime général</w:t>
      </w:r>
      <w:r w:rsidR="009B320C">
        <w:t>.</w:t>
      </w:r>
    </w:p>
    <w:p w14:paraId="5A46F4D4" w14:textId="4651D30C" w:rsidR="00DF4DB8" w:rsidRPr="00DF4DB8" w:rsidRDefault="00DF4DB8" w:rsidP="00DF4DB8">
      <w:pPr>
        <w:pStyle w:val="listepucescitation"/>
      </w:pPr>
      <w:r w:rsidRPr="00181335">
        <w:rPr>
          <w:b/>
          <w:bCs/>
        </w:rPr>
        <w:t>Création de la Cavimac</w:t>
      </w:r>
      <w:r>
        <w:t xml:space="preserve">. </w:t>
      </w:r>
      <w:r w:rsidRPr="00DF4DB8">
        <w:t xml:space="preserve">La loi n° 99-641 du 27 juillet 1999 (article 71) a dissous la Camac et la Camavic et les a remplacées par la Cavimac. </w:t>
      </w:r>
    </w:p>
    <w:p w14:paraId="4ED83C9F" w14:textId="3C4A2811" w:rsidR="00DF4DB8" w:rsidRPr="00DF4DB8" w:rsidRDefault="00181335" w:rsidP="00DF4DB8">
      <w:pPr>
        <w:pStyle w:val="listepucescitation"/>
      </w:pPr>
      <w:r w:rsidRPr="00181335">
        <w:rPr>
          <w:b/>
          <w:bCs/>
        </w:rPr>
        <w:t>Intégration juridique.</w:t>
      </w:r>
      <w:r>
        <w:t xml:space="preserve"> </w:t>
      </w:r>
      <w:r w:rsidR="00DF4DB8" w:rsidRPr="00DF4DB8">
        <w:t>L’article 75 de la loi n° 2005-1579 du 19 décembre 2005 a parachevé l’évolution engagée en intégrant juridiquement le régime d’assurance vieillesse des cultes au sein du régime général.</w:t>
      </w:r>
    </w:p>
    <w:p w14:paraId="46410205" w14:textId="375FC2F6" w:rsidR="00940880" w:rsidRPr="00CC46FA" w:rsidRDefault="00A2776E" w:rsidP="00F73C53">
      <w:pPr>
        <w:pStyle w:val="Titre1"/>
      </w:pPr>
      <w:r>
        <w:t xml:space="preserve">Les </w:t>
      </w:r>
      <w:r w:rsidR="00ED1A47">
        <w:t xml:space="preserve">Juges rappellent que les </w:t>
      </w:r>
      <w:r>
        <w:t>conditions d’assujettissement découlent de la loi</w:t>
      </w:r>
    </w:p>
    <w:p w14:paraId="2DA282D0" w14:textId="33B325E5" w:rsidR="00A2776E" w:rsidRDefault="00A2776E" w:rsidP="004446F9">
      <w:pPr>
        <w:pStyle w:val="Titre5"/>
      </w:pPr>
      <w:r>
        <w:t>2006. Première réaction du culte catholique</w:t>
      </w:r>
    </w:p>
    <w:p w14:paraId="14D72299" w14:textId="452BB4C3" w:rsidR="004E6317" w:rsidRDefault="004E6317" w:rsidP="004E6317">
      <w:pPr>
        <w:pStyle w:val="Paragraphe12"/>
        <w:rPr>
          <w:rFonts w:eastAsia="Calibri"/>
        </w:rPr>
      </w:pPr>
      <w:r>
        <w:rPr>
          <w:rFonts w:eastAsia="Calibri"/>
        </w:rPr>
        <w:t>En 2005, l’APRC décide d’engager des actions judiciaires</w:t>
      </w:r>
      <w:r w:rsidR="00C33DCD">
        <w:rPr>
          <w:rFonts w:eastAsia="Calibri"/>
        </w:rPr>
        <w:t xml:space="preserve"> pour faire valider les périodes précédant les vœux religieux, le diaconat, etc</w:t>
      </w:r>
      <w:r>
        <w:rPr>
          <w:rFonts w:eastAsia="Calibri"/>
        </w:rPr>
        <w:t>. Dès la première affaire, la réaction du culte catholique est rapide : le 10 avril 2006, l’audience a lieu à Vannes, le 5 mai, la tripartite décide d’affilier les novices, le 16 mai le jugement est notifié, le 29 juin, le conseil d’administration de la Cavimac entérine la décision du culte catholique.</w:t>
      </w:r>
    </w:p>
    <w:p w14:paraId="76776F86" w14:textId="129FCE96" w:rsidR="004E6317" w:rsidRDefault="000655AC" w:rsidP="00165A9A">
      <w:pPr>
        <w:pStyle w:val="Rfrence"/>
      </w:pPr>
      <w:r>
        <w:t>Pièce 2</w:t>
      </w:r>
      <w:r w:rsidR="008E748D">
        <w:t>3</w:t>
      </w:r>
      <w:r>
        <w:t xml:space="preserve">. </w:t>
      </w:r>
      <w:r w:rsidR="004E6317">
        <w:t>Tripartite. Circulaire décidant affiliation novices, séminaristes, associations de fidèles.</w:t>
      </w:r>
    </w:p>
    <w:p w14:paraId="775A9F1E" w14:textId="7EFEF2B0" w:rsidR="004E6317" w:rsidRDefault="000655AC" w:rsidP="00165A9A">
      <w:pPr>
        <w:pStyle w:val="Rfrence"/>
      </w:pPr>
      <w:r>
        <w:t>Pièce 2</w:t>
      </w:r>
      <w:r w:rsidR="008E748D">
        <w:t>4</w:t>
      </w:r>
      <w:r>
        <w:t xml:space="preserve">. </w:t>
      </w:r>
      <w:r w:rsidR="004E6317">
        <w:t>Cavimac. Circulaire du 19 juillet 2006 (annonçant la décision du 29 juin 2006).</w:t>
      </w:r>
    </w:p>
    <w:p w14:paraId="31E0E181" w14:textId="06E84F8E" w:rsidR="00A2776E" w:rsidRDefault="00AB76F6" w:rsidP="00A2776E">
      <w:pPr>
        <w:pStyle w:val="Paragraphe12"/>
        <w:rPr>
          <w:rFonts w:eastAsia="Calibri"/>
        </w:rPr>
      </w:pPr>
      <w:r>
        <w:rPr>
          <w:rFonts w:eastAsia="Calibri"/>
        </w:rPr>
        <w:t xml:space="preserve">Selon le culte catholique, </w:t>
      </w:r>
      <w:r w:rsidRPr="00AB76F6">
        <w:rPr>
          <w:rFonts w:eastAsia="Calibri"/>
          <w:i/>
          <w:iCs/>
        </w:rPr>
        <w:t>« ces nouvelles règles d’assujettissement… visent dans un esprit de solidarité à tenir compte de l’allongement de la durée de cotisation ».</w:t>
      </w:r>
    </w:p>
    <w:p w14:paraId="1A440D27" w14:textId="2C1BA200" w:rsidR="00AB76F6" w:rsidRDefault="00F86B3E" w:rsidP="00F86B3E">
      <w:pPr>
        <w:pStyle w:val="Rfrence"/>
        <w:rPr>
          <w:noProof/>
        </w:rPr>
      </w:pPr>
      <w:r>
        <w:rPr>
          <w:noProof/>
        </w:rPr>
        <w:t>Pièce 25. Mgr Garnier</w:t>
      </w:r>
      <w:r>
        <w:rPr>
          <w:rStyle w:val="Appelnotedebasdep"/>
          <w:noProof/>
        </w:rPr>
        <w:footnoteReference w:id="1"/>
      </w:r>
      <w:r>
        <w:rPr>
          <w:noProof/>
        </w:rPr>
        <w:t>. Lettre au Directeur de la Cavimac. 16 août 2007.</w:t>
      </w:r>
    </w:p>
    <w:p w14:paraId="2202A3DB" w14:textId="77777777" w:rsidR="00181C36" w:rsidRDefault="00181C36" w:rsidP="00181C36">
      <w:pPr>
        <w:pStyle w:val="Paragrretrait1"/>
      </w:pPr>
      <w:r>
        <w:t>NB. Le 26 mai 2014, le culte catholique “décide” d’affilier les postulants à partir du 1er octobre 2014. Décision qui sera simplement signalée au conseil d’administration (sans que cela figure au PV de la réunion).</w:t>
      </w:r>
    </w:p>
    <w:p w14:paraId="7A44968D" w14:textId="27728F89" w:rsidR="00181C36" w:rsidRPr="00181C36" w:rsidRDefault="00181C36" w:rsidP="00181C36">
      <w:pPr>
        <w:pStyle w:val="Rfrence"/>
      </w:pPr>
      <w:r>
        <w:t>Pièce 26. COREFF. Circulaire affiliation postulants.</w:t>
      </w:r>
    </w:p>
    <w:p w14:paraId="6DEDFA36" w14:textId="78694B09" w:rsidR="00A2776E" w:rsidRDefault="00A2776E" w:rsidP="004446F9">
      <w:pPr>
        <w:pStyle w:val="Titre5"/>
      </w:pPr>
      <w:r>
        <w:t>2009. La Cour de cassation rejette les positions de la Cavimac</w:t>
      </w:r>
    </w:p>
    <w:p w14:paraId="0A320107" w14:textId="5EF250F4" w:rsidR="006A506F" w:rsidRDefault="004E6317" w:rsidP="00012611">
      <w:pPr>
        <w:pStyle w:val="Paragraphe12"/>
        <w:rPr>
          <w:rFonts w:eastAsia="Calibri"/>
        </w:rPr>
      </w:pPr>
      <w:r>
        <w:rPr>
          <w:rFonts w:eastAsia="Calibri"/>
        </w:rPr>
        <w:t>Le 20 octobre 2009, la Cour de cassation rejette 5 pourvois de la Cavimac.</w:t>
      </w:r>
      <w:r w:rsidR="004365D9">
        <w:rPr>
          <w:rFonts w:eastAsia="Calibri"/>
        </w:rPr>
        <w:t xml:space="preserve"> Le juge n’est pas tenu de se référer aux statuts de la congrégation. L</w:t>
      </w:r>
      <w:r w:rsidR="004365D9" w:rsidRPr="004365D9">
        <w:rPr>
          <w:rFonts w:eastAsia="Calibri"/>
        </w:rPr>
        <w:t>es conditions de l’assujettissement au régime de sécurité sociale des ministres des cultes et membres des congrégations et collectivités religieuses découlent exclusivement des dispositions de l’article L. 721</w:t>
      </w:r>
      <w:r w:rsidR="00E55633">
        <w:rPr>
          <w:rFonts w:eastAsia="Calibri"/>
        </w:rPr>
        <w:t>-</w:t>
      </w:r>
      <w:r w:rsidR="004365D9" w:rsidRPr="004365D9">
        <w:rPr>
          <w:rFonts w:eastAsia="Calibri"/>
        </w:rPr>
        <w:t>1 du code de la sécurité sociale</w:t>
      </w:r>
      <w:r w:rsidR="004365D9">
        <w:rPr>
          <w:rFonts w:eastAsia="Calibri"/>
        </w:rPr>
        <w:t>.</w:t>
      </w:r>
    </w:p>
    <w:p w14:paraId="270D43EB" w14:textId="1D39D265" w:rsidR="004E6317" w:rsidRPr="00A9088D" w:rsidRDefault="000655AC" w:rsidP="00165A9A">
      <w:pPr>
        <w:pStyle w:val="Rfrence"/>
      </w:pPr>
      <w:r>
        <w:t>Pièce 2</w:t>
      </w:r>
      <w:r w:rsidR="00181C36">
        <w:t>7</w:t>
      </w:r>
      <w:r>
        <w:t xml:space="preserve">. </w:t>
      </w:r>
      <w:r w:rsidR="004E6317">
        <w:t>Cour de cassation. Arrêt 08</w:t>
      </w:r>
      <w:r w:rsidR="00E55633">
        <w:t>-</w:t>
      </w:r>
      <w:r w:rsidR="004E6317">
        <w:t>13</w:t>
      </w:r>
      <w:r w:rsidR="00E55633">
        <w:t>.</w:t>
      </w:r>
      <w:r w:rsidR="004E6317">
        <w:t>656 du 2</w:t>
      </w:r>
      <w:r w:rsidR="001D3F61">
        <w:t>2</w:t>
      </w:r>
      <w:r w:rsidR="004E6317">
        <w:t xml:space="preserve"> octobre 2009.</w:t>
      </w:r>
      <w:r w:rsidR="00F52B19">
        <w:t xml:space="preserve"> Publié.</w:t>
      </w:r>
    </w:p>
    <w:p w14:paraId="4D3CE434" w14:textId="144404E4" w:rsidR="00A2776E" w:rsidRDefault="00A2776E" w:rsidP="004446F9">
      <w:pPr>
        <w:pStyle w:val="Titre5"/>
      </w:pPr>
      <w:r>
        <w:t>2011. Le Conseil d’É</w:t>
      </w:r>
      <w:r w:rsidR="00BF4C80">
        <w:t>tat</w:t>
      </w:r>
      <w:r>
        <w:t xml:space="preserve"> juge le règlement intérieur illégal</w:t>
      </w:r>
    </w:p>
    <w:p w14:paraId="61C7EA3A" w14:textId="31DFED03" w:rsidR="006A506F" w:rsidRDefault="004E6317" w:rsidP="00012611">
      <w:pPr>
        <w:pStyle w:val="Paragraphe12"/>
        <w:rPr>
          <w:rFonts w:eastAsia="Calibri"/>
        </w:rPr>
      </w:pPr>
      <w:r>
        <w:rPr>
          <w:rFonts w:eastAsia="Calibri"/>
        </w:rPr>
        <w:t>Le 16 novembre 2011</w:t>
      </w:r>
      <w:r w:rsidR="00F52B19">
        <w:rPr>
          <w:rFonts w:eastAsia="Calibri"/>
        </w:rPr>
        <w:t>, le Conseil d’État déclare l’article 1.23 illégal.</w:t>
      </w:r>
      <w:r w:rsidR="00A2776E">
        <w:rPr>
          <w:rFonts w:eastAsia="Calibri"/>
        </w:rPr>
        <w:t xml:space="preserve"> Cette illégalité est prononcé</w:t>
      </w:r>
      <w:r w:rsidR="004365D9">
        <w:rPr>
          <w:rFonts w:eastAsia="Calibri"/>
        </w:rPr>
        <w:t>e</w:t>
      </w:r>
      <w:r w:rsidR="00A2776E">
        <w:rPr>
          <w:rFonts w:eastAsia="Calibri"/>
        </w:rPr>
        <w:t xml:space="preserve"> pour un vice de fond : la Cavimac n’a pas compétence pour déterminer les conditions d’assujettissement.</w:t>
      </w:r>
    </w:p>
    <w:p w14:paraId="097A9157" w14:textId="7319465B" w:rsidR="00F52B19" w:rsidRDefault="000655AC" w:rsidP="00165A9A">
      <w:pPr>
        <w:pStyle w:val="Rfrence"/>
      </w:pPr>
      <w:r>
        <w:t>Pièce 2</w:t>
      </w:r>
      <w:r w:rsidR="00181C36">
        <w:t>8</w:t>
      </w:r>
      <w:r>
        <w:t xml:space="preserve">. </w:t>
      </w:r>
      <w:r w:rsidR="00F52B19">
        <w:t>Conseil d’État. Décision 339582 du 16 novembre 2011. Publié</w:t>
      </w:r>
      <w:r w:rsidR="00FA0607">
        <w:t>e au recueil Lebon</w:t>
      </w:r>
      <w:r w:rsidR="00F52B19">
        <w:t>.</w:t>
      </w:r>
    </w:p>
    <w:p w14:paraId="5D5FFBD7" w14:textId="75609A9B" w:rsidR="00FA0607" w:rsidRDefault="000655AC" w:rsidP="00165A9A">
      <w:pPr>
        <w:pStyle w:val="Rfrence"/>
      </w:pPr>
      <w:r>
        <w:t>Pièce 2</w:t>
      </w:r>
      <w:r w:rsidR="00181C36">
        <w:t>9</w:t>
      </w:r>
      <w:r>
        <w:t xml:space="preserve">. </w:t>
      </w:r>
      <w:r w:rsidR="00FA0607">
        <w:t>Conseil d’État. Rapport. 339582.</w:t>
      </w:r>
      <w:r>
        <w:t xml:space="preserve"> Extraits.</w:t>
      </w:r>
    </w:p>
    <w:p w14:paraId="0A513894" w14:textId="6C339FF5" w:rsidR="00A2776E" w:rsidRDefault="00A2776E" w:rsidP="004446F9">
      <w:pPr>
        <w:pStyle w:val="Titre5"/>
      </w:pPr>
      <w:r>
        <w:t>2012</w:t>
      </w:r>
      <w:r w:rsidR="004365D9">
        <w:t>. La Cour de cassation précise des éléments objectifs.</w:t>
      </w:r>
    </w:p>
    <w:p w14:paraId="47A5C17B" w14:textId="3341724B" w:rsidR="009502AD" w:rsidRDefault="004365D9" w:rsidP="009502AD">
      <w:pPr>
        <w:pStyle w:val="Paragraphe12"/>
      </w:pPr>
      <w:r>
        <w:t>L</w:t>
      </w:r>
      <w:r w:rsidR="009502AD">
        <w:t xml:space="preserve">a Cour de cassation </w:t>
      </w:r>
      <w:r>
        <w:t>définit</w:t>
      </w:r>
      <w:r w:rsidR="00A5406B">
        <w:t xml:space="preserve"> l’assuré par l’</w:t>
      </w:r>
      <w:r w:rsidR="009502AD">
        <w:t>engagement religieux, manifesté notamment par un mode de vie en communauté et une activité essentiellement exercée au service de la religion.</w:t>
      </w:r>
    </w:p>
    <w:p w14:paraId="55302ACC" w14:textId="4AEDE8DA" w:rsidR="00F52B19" w:rsidRDefault="00C33DCD" w:rsidP="00165A9A">
      <w:pPr>
        <w:pStyle w:val="Rfrence"/>
      </w:pPr>
      <w:r>
        <w:t xml:space="preserve">Pièce </w:t>
      </w:r>
      <w:r w:rsidR="008E748D">
        <w:t>30</w:t>
      </w:r>
      <w:r>
        <w:t xml:space="preserve">. </w:t>
      </w:r>
      <w:r w:rsidR="00F52B19">
        <w:t xml:space="preserve">Cour de cassation. Arrêts </w:t>
      </w:r>
      <w:r w:rsidR="003E446E">
        <w:t>10-24</w:t>
      </w:r>
      <w:r w:rsidR="00B245A9">
        <w:t>.</w:t>
      </w:r>
      <w:r w:rsidR="003E446E">
        <w:t>603 et 10-26</w:t>
      </w:r>
      <w:r w:rsidR="00B245A9">
        <w:t>.</w:t>
      </w:r>
      <w:r w:rsidR="003E446E">
        <w:t>873 du 20 janvier 2012. Publiés.</w:t>
      </w:r>
    </w:p>
    <w:p w14:paraId="11399EF9" w14:textId="2D5AE3A6" w:rsidR="00FA0607" w:rsidRPr="00FA0607" w:rsidRDefault="00C33DCD" w:rsidP="00165A9A">
      <w:pPr>
        <w:pStyle w:val="Rfrence"/>
      </w:pPr>
      <w:r>
        <w:t>Pièce 3</w:t>
      </w:r>
      <w:r w:rsidR="008E748D">
        <w:t>1</w:t>
      </w:r>
      <w:r>
        <w:t xml:space="preserve">. </w:t>
      </w:r>
      <w:r w:rsidR="00FA0607">
        <w:t>Cour de cassation. Rapport 2012.</w:t>
      </w:r>
    </w:p>
    <w:p w14:paraId="51FADB16" w14:textId="051D3DE4" w:rsidR="008E748D" w:rsidRDefault="007078D5" w:rsidP="007078D5">
      <w:pPr>
        <w:pStyle w:val="Titre1"/>
      </w:pPr>
      <w:r>
        <w:lastRenderedPageBreak/>
        <w:t>La Cavimac résiste à l’application de la loi</w:t>
      </w:r>
    </w:p>
    <w:p w14:paraId="7A1EC55E" w14:textId="57927A6C" w:rsidR="00A2776E" w:rsidRDefault="00A2776E" w:rsidP="00A2776E">
      <w:pPr>
        <w:pStyle w:val="Paragraphe12"/>
        <w:rPr>
          <w:lang w:eastAsia="en-US"/>
        </w:rPr>
      </w:pPr>
      <w:r>
        <w:rPr>
          <w:lang w:eastAsia="en-US"/>
        </w:rPr>
        <w:t>La Cavimac affirme – contre l’évidence – que le Conseil d’État n’a pas censuré ses critères d’affiliation.</w:t>
      </w:r>
    </w:p>
    <w:p w14:paraId="09869D64" w14:textId="58042AF9" w:rsidR="00A2776E" w:rsidRDefault="00A2776E" w:rsidP="00A2776E">
      <w:pPr>
        <w:pStyle w:val="Rfrence"/>
      </w:pPr>
      <w:r>
        <w:t xml:space="preserve">Pièce </w:t>
      </w:r>
      <w:r w:rsidR="00A13191">
        <w:t>32</w:t>
      </w:r>
      <w:r>
        <w:t xml:space="preserve">. </w:t>
      </w:r>
      <w:r w:rsidRPr="007044BA">
        <w:t>Cavimac. Courrier au TASS de Paris. 19 septembre 2012.</w:t>
      </w:r>
    </w:p>
    <w:p w14:paraId="4FE9E414" w14:textId="7C3B06CA" w:rsidR="00A5406B" w:rsidRDefault="00DA2824" w:rsidP="006B5912">
      <w:pPr>
        <w:pStyle w:val="Paragraphe12"/>
        <w:rPr>
          <w:rFonts w:eastAsia="Calibri"/>
          <w:lang w:eastAsia="en-US"/>
        </w:rPr>
      </w:pPr>
      <w:r>
        <w:rPr>
          <w:rFonts w:eastAsia="Calibri"/>
          <w:lang w:eastAsia="en-US"/>
        </w:rPr>
        <w:t>L</w:t>
      </w:r>
      <w:r w:rsidR="00A5406B">
        <w:rPr>
          <w:rFonts w:eastAsia="Calibri"/>
          <w:lang w:eastAsia="en-US"/>
        </w:rPr>
        <w:t>e 11 décembre 2013</w:t>
      </w:r>
      <w:r>
        <w:rPr>
          <w:rFonts w:eastAsia="Calibri"/>
          <w:lang w:eastAsia="en-US"/>
        </w:rPr>
        <w:t xml:space="preserve">, </w:t>
      </w:r>
      <w:r w:rsidR="00A5406B">
        <w:rPr>
          <w:rFonts w:eastAsia="Calibri"/>
          <w:lang w:eastAsia="en-US"/>
        </w:rPr>
        <w:t>le conseil d’administration de la Cavimac approuv</w:t>
      </w:r>
      <w:r w:rsidR="00043C69">
        <w:rPr>
          <w:rFonts w:eastAsia="Calibri"/>
          <w:lang w:eastAsia="en-US"/>
        </w:rPr>
        <w:t>e</w:t>
      </w:r>
      <w:r w:rsidR="00A5406B">
        <w:rPr>
          <w:rFonts w:eastAsia="Calibri"/>
          <w:lang w:eastAsia="en-US"/>
        </w:rPr>
        <w:t xml:space="preserve"> le nouveau règlement intérieur.</w:t>
      </w:r>
    </w:p>
    <w:p w14:paraId="21432E8A" w14:textId="76132BE7" w:rsidR="00A5406B" w:rsidRDefault="00A5406B" w:rsidP="00A5406B">
      <w:pPr>
        <w:pStyle w:val="Rfrence"/>
      </w:pPr>
      <w:r>
        <w:t>Pièce 3</w:t>
      </w:r>
      <w:r w:rsidR="00A13191">
        <w:t>3</w:t>
      </w:r>
      <w:r>
        <w:t>. Nouveau règlement intérieur Cavimac.</w:t>
      </w:r>
    </w:p>
    <w:p w14:paraId="4BB22280" w14:textId="415973D9" w:rsidR="00337945" w:rsidRDefault="00A5406B" w:rsidP="00A5406B">
      <w:pPr>
        <w:pStyle w:val="Paragraphe12"/>
        <w:rPr>
          <w:rFonts w:eastAsia="Calibri"/>
          <w:lang w:eastAsia="en-US"/>
        </w:rPr>
      </w:pPr>
      <w:r>
        <w:rPr>
          <w:rFonts w:eastAsia="Calibri"/>
          <w:lang w:eastAsia="en-US"/>
        </w:rPr>
        <w:t xml:space="preserve">Il convient de noter </w:t>
      </w:r>
      <w:r w:rsidR="00337945">
        <w:rPr>
          <w:rFonts w:eastAsia="Calibri"/>
          <w:lang w:eastAsia="en-US"/>
        </w:rPr>
        <w:t xml:space="preserve">que ce nouveau règlement intérieur </w:t>
      </w:r>
      <w:r w:rsidR="0091747D">
        <w:rPr>
          <w:rFonts w:eastAsia="Calibri"/>
          <w:lang w:eastAsia="en-US"/>
        </w:rPr>
        <w:t>persiste</w:t>
      </w:r>
      <w:r w:rsidR="00DA2824">
        <w:rPr>
          <w:rFonts w:eastAsia="Calibri"/>
          <w:lang w:eastAsia="en-US"/>
        </w:rPr>
        <w:t>,</w:t>
      </w:r>
      <w:r w:rsidR="009B6C59">
        <w:rPr>
          <w:rFonts w:eastAsia="Calibri"/>
          <w:lang w:eastAsia="en-US"/>
        </w:rPr>
        <w:t xml:space="preserve"> subrepticement</w:t>
      </w:r>
      <w:r w:rsidR="00DA2824">
        <w:rPr>
          <w:rFonts w:eastAsia="Calibri"/>
          <w:lang w:eastAsia="en-US"/>
        </w:rPr>
        <w:t>,</w:t>
      </w:r>
      <w:r w:rsidR="009B6C59">
        <w:rPr>
          <w:rFonts w:eastAsia="Calibri"/>
          <w:lang w:eastAsia="en-US"/>
        </w:rPr>
        <w:t xml:space="preserve"> </w:t>
      </w:r>
      <w:r w:rsidR="0091747D">
        <w:rPr>
          <w:rFonts w:eastAsia="Calibri"/>
          <w:lang w:eastAsia="en-US"/>
        </w:rPr>
        <w:t xml:space="preserve">à demander aux cultes </w:t>
      </w:r>
      <w:r w:rsidR="009B6C59">
        <w:rPr>
          <w:rFonts w:eastAsia="Calibri"/>
          <w:lang w:eastAsia="en-US"/>
        </w:rPr>
        <w:t>de déterminer qui, à un moment donné a une “qualité cultuelle” au sens de l’article L 382-15 CSS</w:t>
      </w:r>
      <w:r w:rsidR="00337945">
        <w:rPr>
          <w:rFonts w:eastAsia="Calibri"/>
          <w:lang w:eastAsia="en-US"/>
        </w:rPr>
        <w:t xml:space="preserve"> : </w:t>
      </w:r>
    </w:p>
    <w:p w14:paraId="3466BA27" w14:textId="7816F21B" w:rsidR="00337945" w:rsidRPr="00337945" w:rsidRDefault="00337945" w:rsidP="00337945">
      <w:pPr>
        <w:pStyle w:val="Citation1"/>
      </w:pPr>
      <w:r>
        <w:t>« Chaque culte fait connaître à la Cavimac les éléments objectifs qui permettent à la caisse de déterminer le statut cultuel de ses membres ».</w:t>
      </w:r>
    </w:p>
    <w:p w14:paraId="02ACE9F3" w14:textId="66FF6811" w:rsidR="00B66316" w:rsidRPr="00B66316" w:rsidRDefault="009B6C59" w:rsidP="00B66316">
      <w:pPr>
        <w:pStyle w:val="Paragraphe12"/>
        <w:rPr>
          <w:rFonts w:eastAsia="Calibri"/>
          <w:lang w:eastAsia="en-US"/>
        </w:rPr>
      </w:pPr>
      <w:r>
        <w:rPr>
          <w:rFonts w:eastAsia="Calibri"/>
          <w:lang w:eastAsia="en-US"/>
        </w:rPr>
        <w:t>L</w:t>
      </w:r>
      <w:r w:rsidR="00067E23">
        <w:rPr>
          <w:rFonts w:eastAsia="Calibri"/>
          <w:lang w:eastAsia="en-US"/>
        </w:rPr>
        <w:t xml:space="preserve">e </w:t>
      </w:r>
      <w:r w:rsidR="00B66316" w:rsidRPr="00B66316">
        <w:rPr>
          <w:rFonts w:eastAsia="Calibri"/>
          <w:lang w:eastAsia="en-US"/>
        </w:rPr>
        <w:t xml:space="preserve">8 avril 2014, le Président du conseil d’administration de la Cavimac </w:t>
      </w:r>
      <w:r w:rsidR="00DA2824">
        <w:rPr>
          <w:rFonts w:eastAsia="Calibri"/>
          <w:lang w:eastAsia="en-US"/>
        </w:rPr>
        <w:t>a précisé</w:t>
      </w:r>
      <w:r>
        <w:rPr>
          <w:rFonts w:eastAsia="Calibri"/>
          <w:lang w:eastAsia="en-US"/>
        </w:rPr>
        <w:t xml:space="preserve"> le sens de cette phrase </w:t>
      </w:r>
      <w:r w:rsidR="00B66316" w:rsidRPr="00B66316">
        <w:rPr>
          <w:rFonts w:eastAsia="Calibri"/>
          <w:lang w:eastAsia="en-US"/>
        </w:rPr>
        <w:t>:</w:t>
      </w:r>
    </w:p>
    <w:p w14:paraId="7F6EA8A4" w14:textId="15A66B1B" w:rsidR="00067E23" w:rsidRDefault="00067E23" w:rsidP="00067E23">
      <w:pPr>
        <w:pStyle w:val="Citation1"/>
      </w:pPr>
      <w:r>
        <w:t>« </w:t>
      </w:r>
      <w:r w:rsidR="00B66316" w:rsidRPr="00B66316">
        <w:t>Une question difficile : qui détermine le statut cultuel d’une personne ? Comment savoir si, à l’intérieur d’un culte déterminé, une personne a acquis cette qualité cultuelle et à partir de quand ?</w:t>
      </w:r>
      <w:r w:rsidR="009B6C59">
        <w:t xml:space="preserve"> </w:t>
      </w:r>
      <w:r w:rsidR="00B66316" w:rsidRPr="00B66316">
        <w:t>Seul le culte concerné peut le dire. Nous sommes dans un système déclaratif […]</w:t>
      </w:r>
    </w:p>
    <w:p w14:paraId="4D7B9CB6" w14:textId="77777777" w:rsidR="00067E23" w:rsidRDefault="00B66316" w:rsidP="00067E23">
      <w:pPr>
        <w:pStyle w:val="Citation1"/>
      </w:pPr>
      <w:r w:rsidRPr="00B66316">
        <w:t>Nous venons de refondre notre règlement intérieur des prestations pour tenir ensemble la responsabilité de chaque culte de définir qui, à un moment donné, a une qualité cultuelle et la responsabilité de la Cavimac d’affilier effectivement toutes les personnes qui ressortent d’un statut cultuel. Chaque culte fait connaître à la Cavimac les éléments objectifs qui permettent à la caisse de déterminer le statut cultuel de ses membres</w:t>
      </w:r>
      <w:r w:rsidR="00067E23">
        <w:t> ».</w:t>
      </w:r>
    </w:p>
    <w:p w14:paraId="60114C89" w14:textId="7D4A43D5" w:rsidR="00B66316" w:rsidRPr="00B66316" w:rsidRDefault="00067E23" w:rsidP="00067E23">
      <w:pPr>
        <w:pStyle w:val="Rfrence"/>
      </w:pPr>
      <w:r>
        <w:t>Pièce 3</w:t>
      </w:r>
      <w:r w:rsidR="00A13191">
        <w:t>4</w:t>
      </w:r>
      <w:r>
        <w:t xml:space="preserve">. </w:t>
      </w:r>
      <w:r w:rsidR="00B66316" w:rsidRPr="00B66316">
        <w:t>P. Potier, Conférence des religieux et religieuses de France, 8 avril 2014, p. 23.</w:t>
      </w:r>
    </w:p>
    <w:p w14:paraId="23876590" w14:textId="5761E786" w:rsidR="00DA2824" w:rsidRPr="00A5406B" w:rsidRDefault="00DA2824" w:rsidP="00DA2824">
      <w:pPr>
        <w:pStyle w:val="Paragraphe12"/>
        <w:rPr>
          <w:rFonts w:eastAsia="Calibri"/>
          <w:lang w:eastAsia="en-US"/>
        </w:rPr>
      </w:pPr>
      <w:r>
        <w:rPr>
          <w:rFonts w:eastAsia="Calibri"/>
          <w:lang w:eastAsia="en-US"/>
        </w:rPr>
        <w:t>Dans ses formulaires, la Cavimac persiste à faire valoir les critères des vœux, du diaconat, etc.</w:t>
      </w:r>
    </w:p>
    <w:p w14:paraId="1C500D8C" w14:textId="520B6341" w:rsidR="00DA2824" w:rsidRDefault="00DA2824" w:rsidP="00DA2824">
      <w:pPr>
        <w:pStyle w:val="Rfrence"/>
      </w:pPr>
      <w:r>
        <w:t>Pièce 3</w:t>
      </w:r>
      <w:r w:rsidR="00A13191">
        <w:t>5</w:t>
      </w:r>
      <w:r>
        <w:t>. Formulaire Cavimac. Demande de relevé de carrière.</w:t>
      </w:r>
    </w:p>
    <w:p w14:paraId="46246B3B" w14:textId="1DF09204" w:rsidR="00DA2824" w:rsidRDefault="00DA2824" w:rsidP="00DA2824">
      <w:pPr>
        <w:pStyle w:val="Rfrence"/>
      </w:pPr>
      <w:r>
        <w:t xml:space="preserve">Pièce </w:t>
      </w:r>
      <w:r w:rsidR="00A13191">
        <w:t>36</w:t>
      </w:r>
      <w:r>
        <w:t>. Formulaire Cavimac. Demande de rachat de trimestres.</w:t>
      </w:r>
    </w:p>
    <w:p w14:paraId="004999B7" w14:textId="77D5522B" w:rsidR="00DA2824" w:rsidRDefault="00DA2824" w:rsidP="00A13191">
      <w:pPr>
        <w:pStyle w:val="Paragraphe12"/>
        <w:tabs>
          <w:tab w:val="left" w:pos="284"/>
        </w:tabs>
      </w:pPr>
      <w:r>
        <w:t>D</w:t>
      </w:r>
      <w:r w:rsidR="00067E23">
        <w:t xml:space="preserve">ans ses conclusions, la Cavimac </w:t>
      </w:r>
      <w:r>
        <w:t>soutient une argumentation étonnante.</w:t>
      </w:r>
    </w:p>
    <w:p w14:paraId="15D4C5D8" w14:textId="0B12E8C5" w:rsidR="00DA2824" w:rsidRDefault="00A13191" w:rsidP="00DA2824">
      <w:pPr>
        <w:pStyle w:val="listepucescitation"/>
      </w:pPr>
      <w:r>
        <w:t>1</w:t>
      </w:r>
      <w:r w:rsidR="00DA2824">
        <w:t xml:space="preserve">. Les critères </w:t>
      </w:r>
      <w:r>
        <w:t>définis</w:t>
      </w:r>
      <w:r w:rsidR="00DA2824">
        <w:t xml:space="preserve"> </w:t>
      </w:r>
      <w:r>
        <w:t xml:space="preserve">par les cultes </w:t>
      </w:r>
      <w:r w:rsidR="00DA2824">
        <w:t>n’ont pas été censurés par l</w:t>
      </w:r>
      <w:r>
        <w:t>e</w:t>
      </w:r>
      <w:r w:rsidR="00DA2824">
        <w:t xml:space="preserve"> Conseil d’État</w:t>
      </w:r>
      <w:r>
        <w:t>. Ils sont toujours valides</w:t>
      </w:r>
      <w:r w:rsidR="00DA2824">
        <w:t>.</w:t>
      </w:r>
    </w:p>
    <w:p w14:paraId="37030C50" w14:textId="1CAB1939" w:rsidR="00DA2824" w:rsidRDefault="00A13191" w:rsidP="00DA2824">
      <w:pPr>
        <w:pStyle w:val="listepucescitation"/>
      </w:pPr>
      <w:r>
        <w:t>2</w:t>
      </w:r>
      <w:r w:rsidR="00DA2824">
        <w:t>. Elle ne peut donc pas affilier les novices et les séminaristes.</w:t>
      </w:r>
    </w:p>
    <w:p w14:paraId="44FCEDDC" w14:textId="1834B0EC" w:rsidR="00B66316" w:rsidRDefault="00A13191" w:rsidP="00DA2824">
      <w:pPr>
        <w:pStyle w:val="listepucescitation"/>
      </w:pPr>
      <w:r>
        <w:t>3</w:t>
      </w:r>
      <w:r w:rsidR="00DA2824">
        <w:t xml:space="preserve">. </w:t>
      </w:r>
      <w:r>
        <w:t>E</w:t>
      </w:r>
      <w:r w:rsidR="00DA2824">
        <w:t xml:space="preserve">lle peut contourner cette impossibilité légale en </w:t>
      </w:r>
      <w:r>
        <w:t>appliquant</w:t>
      </w:r>
      <w:r w:rsidR="00DA2824">
        <w:t xml:space="preserve"> la jurisprudence de la Cour de cassation.</w:t>
      </w:r>
    </w:p>
    <w:p w14:paraId="2124262E" w14:textId="4439F314" w:rsidR="009B6C59" w:rsidRDefault="00A13191" w:rsidP="00A13191">
      <w:pPr>
        <w:pStyle w:val="Rfrence"/>
      </w:pPr>
      <w:r>
        <w:rPr>
          <w:spacing w:val="-4"/>
        </w:rPr>
        <w:t xml:space="preserve">Pièce 37. Conclusions Cavimac. Extraits. </w:t>
      </w:r>
    </w:p>
    <w:p w14:paraId="04D423E4" w14:textId="77777777" w:rsidR="0091747D" w:rsidRDefault="0091747D" w:rsidP="0091747D">
      <w:pPr>
        <w:pStyle w:val="Paragraphe12"/>
        <w:rPr>
          <w:rFonts w:eastAsia="Calibri"/>
          <w:lang w:eastAsia="en-US"/>
        </w:rPr>
      </w:pPr>
      <w:r>
        <w:rPr>
          <w:rFonts w:eastAsia="Calibri"/>
          <w:lang w:eastAsia="en-US"/>
        </w:rPr>
        <w:t>De nombreux arrêts ont condamné la Cavimac.</w:t>
      </w:r>
    </w:p>
    <w:p w14:paraId="5971A3D7" w14:textId="43DEC250" w:rsidR="0091747D" w:rsidRDefault="0091747D" w:rsidP="0091747D">
      <w:pPr>
        <w:pStyle w:val="Rfrence"/>
      </w:pPr>
      <w:r>
        <w:t>Pièce 3</w:t>
      </w:r>
      <w:r w:rsidR="00EA781D">
        <w:t>8</w:t>
      </w:r>
      <w:r>
        <w:t xml:space="preserve">. Liste des arrêts ayant condamné la Cavimac a </w:t>
      </w:r>
      <w:r w:rsidR="00B115A0">
        <w:t xml:space="preserve">valider </w:t>
      </w:r>
      <w:r>
        <w:t>les périodes indûment omises.</w:t>
      </w:r>
    </w:p>
    <w:p w14:paraId="77A749EA" w14:textId="7D9C5290" w:rsidR="0091747D" w:rsidRDefault="00207A6C" w:rsidP="0091747D">
      <w:pPr>
        <w:pStyle w:val="Paragraphe12"/>
        <w:rPr>
          <w:lang w:eastAsia="en-US"/>
        </w:rPr>
      </w:pPr>
      <w:r>
        <w:rPr>
          <w:lang w:eastAsia="en-US"/>
        </w:rPr>
        <w:t xml:space="preserve">À partir de 2016, en plus de la demande de validation des périodes omises, nous avons demandé la condamnation de la Cavimac pour faute. Ainsi </w:t>
      </w:r>
      <w:r w:rsidR="00ED5000">
        <w:rPr>
          <w:lang w:eastAsia="en-US"/>
        </w:rPr>
        <w:t>une dizaine</w:t>
      </w:r>
      <w:r w:rsidR="0091747D">
        <w:rPr>
          <w:lang w:eastAsia="en-US"/>
        </w:rPr>
        <w:t xml:space="preserve"> d’arrêts ont condamné la Cavimac pour faute.</w:t>
      </w:r>
    </w:p>
    <w:p w14:paraId="0928DD8A" w14:textId="0C996930" w:rsidR="0091747D" w:rsidRDefault="0091747D" w:rsidP="00791916">
      <w:pPr>
        <w:pStyle w:val="Rfrence"/>
      </w:pPr>
      <w:r>
        <w:t xml:space="preserve">Pièce </w:t>
      </w:r>
      <w:r w:rsidR="00225927">
        <w:t>39</w:t>
      </w:r>
      <w:r w:rsidR="00EA781D">
        <w:t>.</w:t>
      </w:r>
      <w:r>
        <w:t xml:space="preserve"> </w:t>
      </w:r>
      <w:r w:rsidR="00791916">
        <w:t>Arrêt de la cour d’appel de RIOM. 12 janvier 2021.</w:t>
      </w:r>
    </w:p>
    <w:p w14:paraId="5A80E974" w14:textId="425D33CF" w:rsidR="00791916" w:rsidRDefault="0091747D" w:rsidP="0091747D">
      <w:pPr>
        <w:pStyle w:val="Rfrence"/>
      </w:pPr>
      <w:r>
        <w:t xml:space="preserve">Pièce </w:t>
      </w:r>
      <w:r w:rsidR="00EA781D">
        <w:t>4</w:t>
      </w:r>
      <w:r w:rsidR="00225927">
        <w:t>0</w:t>
      </w:r>
      <w:r w:rsidR="00EA781D">
        <w:t>.</w:t>
      </w:r>
      <w:r>
        <w:t xml:space="preserve"> </w:t>
      </w:r>
      <w:r w:rsidR="00791916">
        <w:t>Pôle social du tribunal judiciaire de LYON. 28 mai 2021.</w:t>
      </w:r>
    </w:p>
    <w:p w14:paraId="7FC7AAD4" w14:textId="67ED8FDB" w:rsidR="0091747D" w:rsidRPr="00DB705A" w:rsidRDefault="00791916" w:rsidP="0091747D">
      <w:pPr>
        <w:pStyle w:val="Rfrence"/>
      </w:pPr>
      <w:r>
        <w:t>Pièce 41. Pôle social du Tribunal judiciaire de BREST. 7 juillet 2022</w:t>
      </w:r>
      <w:r w:rsidR="004629C3">
        <w:rPr>
          <w:rStyle w:val="Appelnotedebasdep"/>
        </w:rPr>
        <w:footnoteReference w:id="2"/>
      </w:r>
      <w:r>
        <w:t>.</w:t>
      </w:r>
    </w:p>
    <w:p w14:paraId="5AF41E98" w14:textId="66FAFE8D" w:rsidR="009B320C" w:rsidRDefault="002A7399" w:rsidP="00DB705A">
      <w:pPr>
        <w:pStyle w:val="Titre4"/>
      </w:pPr>
      <w:r>
        <w:t>En conclusion.</w:t>
      </w:r>
    </w:p>
    <w:p w14:paraId="1DA93ED4" w14:textId="57974424" w:rsidR="0090632F" w:rsidRDefault="0090632F" w:rsidP="0090632F">
      <w:pPr>
        <w:pStyle w:val="Citation1"/>
      </w:pPr>
      <w:r>
        <w:t>« La définition légale des notions de ministre des cultes et de membres des congrégations et collectivités religieuses, du fait de la diversité des cultes évoquée par l’article L 382-15, n’est pas nécessaire à son application, la reconnaissance de cette qualité ressortant de la démonstration de l’activité cultuelle »</w:t>
      </w:r>
    </w:p>
    <w:p w14:paraId="58F0C585" w14:textId="7A0D7A0E" w:rsidR="0090632F" w:rsidRPr="0090632F" w:rsidRDefault="0090632F" w:rsidP="0090632F">
      <w:pPr>
        <w:pStyle w:val="Rfrence"/>
        <w:rPr>
          <w:lang w:eastAsia="fr-FR"/>
        </w:rPr>
      </w:pPr>
      <w:r>
        <w:rPr>
          <w:lang w:eastAsia="fr-FR"/>
        </w:rPr>
        <w:t>Pièce 42. TASS des Hauts de Seine. Jugement du 13 juillet 2017.</w:t>
      </w:r>
    </w:p>
    <w:p w14:paraId="5AAE9DCD" w14:textId="5C793474" w:rsidR="0011164D" w:rsidRPr="00225927" w:rsidRDefault="0011164D" w:rsidP="0011164D">
      <w:pPr>
        <w:pStyle w:val="Paragraphe12"/>
        <w:jc w:val="right"/>
      </w:pPr>
      <w:r>
        <w:t>AJ 04.04.2025</w:t>
      </w:r>
    </w:p>
    <w:sectPr w:rsidR="0011164D" w:rsidRPr="00225927" w:rsidSect="00D4194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8E00" w14:textId="77777777" w:rsidR="00CA4475" w:rsidRDefault="00CA4475" w:rsidP="00437985">
      <w:r>
        <w:separator/>
      </w:r>
    </w:p>
  </w:endnote>
  <w:endnote w:type="continuationSeparator" w:id="0">
    <w:p w14:paraId="58E00CF1" w14:textId="77777777" w:rsidR="00CA4475" w:rsidRDefault="00CA447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B35" w14:textId="77777777" w:rsidR="00C4112C" w:rsidRDefault="00C411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9158"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22C49F6F" w14:textId="77777777" w:rsidR="00141D32" w:rsidRPr="007303D1" w:rsidRDefault="00141D32"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3B70" w14:textId="77777777" w:rsidR="00C4112C" w:rsidRDefault="00C411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ED51" w14:textId="77777777" w:rsidR="00CA4475" w:rsidRDefault="00CA4475" w:rsidP="00437985">
      <w:r>
        <w:separator/>
      </w:r>
    </w:p>
  </w:footnote>
  <w:footnote w:type="continuationSeparator" w:id="0">
    <w:p w14:paraId="32749BFB" w14:textId="77777777" w:rsidR="00CA4475" w:rsidRDefault="00CA4475" w:rsidP="00437985">
      <w:r>
        <w:continuationSeparator/>
      </w:r>
    </w:p>
  </w:footnote>
  <w:footnote w:id="1">
    <w:p w14:paraId="3B22B62A" w14:textId="1343188D" w:rsidR="00F86B3E" w:rsidRDefault="00F86B3E">
      <w:pPr>
        <w:pStyle w:val="Notedebasdepage"/>
      </w:pPr>
      <w:r>
        <w:rPr>
          <w:rStyle w:val="Appelnotedebasdep"/>
        </w:rPr>
        <w:footnoteRef/>
      </w:r>
      <w:r>
        <w:t xml:space="preserve"> À l’époque, Mgr Garnier est membre du conseil d’administration de la Cavimac.</w:t>
      </w:r>
    </w:p>
  </w:footnote>
  <w:footnote w:id="2">
    <w:p w14:paraId="1FB4AEF6" w14:textId="0EC51D27" w:rsidR="004629C3" w:rsidRDefault="004629C3">
      <w:pPr>
        <w:pStyle w:val="Notedebasdepage"/>
      </w:pPr>
      <w:r>
        <w:rPr>
          <w:rStyle w:val="Appelnotedebasdep"/>
        </w:rPr>
        <w:footnoteRef/>
      </w:r>
      <w:r>
        <w:t xml:space="preserve"> Les jugements de LYON (pièce 40) et de BREST (pièce 41) n’ont pas été contestés par la Cavimac.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5A6F" w14:textId="77777777" w:rsidR="00C4112C" w:rsidRDefault="00C411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167B" w14:textId="77777777" w:rsidR="00C4112C" w:rsidRDefault="00C411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DA83" w14:textId="77777777" w:rsidR="00C4112C" w:rsidRDefault="00C411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429E18D0"/>
    <w:lvl w:ilvl="0" w:tplc="5A481448">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032B3"/>
    <w:multiLevelType w:val="hybridMultilevel"/>
    <w:tmpl w:val="2454EE28"/>
    <w:lvl w:ilvl="0" w:tplc="22FA5DAA">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282C5829"/>
    <w:multiLevelType w:val="hybridMultilevel"/>
    <w:tmpl w:val="97E2205E"/>
    <w:lvl w:ilvl="0" w:tplc="BB22AF40">
      <w:start w:val="1972"/>
      <w:numFmt w:val="bullet"/>
      <w:lvlText w:val="-"/>
      <w:lvlJc w:val="left"/>
      <w:pPr>
        <w:ind w:left="644" w:hanging="360"/>
      </w:pPr>
      <w:rPr>
        <w:rFonts w:ascii="Arial Narrow" w:eastAsia="Calibri" w:hAnsi="Arial Narrow"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62430015"/>
    <w:multiLevelType w:val="hybridMultilevel"/>
    <w:tmpl w:val="E770460C"/>
    <w:lvl w:ilvl="0" w:tplc="A8BA7A9A">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1"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2"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71CC683F"/>
    <w:multiLevelType w:val="multilevel"/>
    <w:tmpl w:val="1F405A62"/>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6"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3F5ADA"/>
    <w:multiLevelType w:val="hybridMultilevel"/>
    <w:tmpl w:val="0BC4DBC0"/>
    <w:lvl w:ilvl="0" w:tplc="F962D936">
      <w:start w:val="1"/>
      <w:numFmt w:val="bullet"/>
      <w:pStyle w:val="Titre5"/>
      <w:lvlText w:val="►"/>
      <w:lvlJc w:val="left"/>
      <w:pPr>
        <w:ind w:left="928" w:hanging="360"/>
      </w:pPr>
      <w:rPr>
        <w:rFonts w:ascii="Arial Black" w:hAnsi="Arial Black" w:hint="default"/>
        <w:color w:val="auto"/>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8"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4"/>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6"/>
  </w:num>
  <w:num w:numId="13" w16cid:durableId="1502811050">
    <w:abstractNumId w:val="15"/>
  </w:num>
  <w:num w:numId="14" w16cid:durableId="502208253">
    <w:abstractNumId w:val="21"/>
  </w:num>
  <w:num w:numId="15" w16cid:durableId="1588883207">
    <w:abstractNumId w:val="25"/>
    <w:lvlOverride w:ilvl="0">
      <w:lvl w:ilvl="0">
        <w:start w:val="1"/>
        <w:numFmt w:val="decimal"/>
        <w:pStyle w:val="Titre1"/>
        <w:isLgl/>
        <w:lvlText w:val="%1."/>
        <w:lvlJc w:val="left"/>
        <w:pPr>
          <w:tabs>
            <w:tab w:val="num" w:pos="3904"/>
          </w:tabs>
          <w:ind w:left="3904" w:hanging="360"/>
        </w:pPr>
        <w:rPr>
          <w:specVanish w: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5"/>
  </w:num>
  <w:num w:numId="19" w16cid:durableId="153298883">
    <w:abstractNumId w:val="27"/>
  </w:num>
  <w:num w:numId="20" w16cid:durableId="323172306">
    <w:abstractNumId w:val="17"/>
  </w:num>
  <w:num w:numId="21" w16cid:durableId="1713573835">
    <w:abstractNumId w:val="19"/>
  </w:num>
  <w:num w:numId="22" w16cid:durableId="773943177">
    <w:abstractNumId w:val="25"/>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8"/>
  </w:num>
  <w:num w:numId="24" w16cid:durableId="1240141978">
    <w:abstractNumId w:val="22"/>
  </w:num>
  <w:num w:numId="25" w16cid:durableId="936601776">
    <w:abstractNumId w:val="17"/>
  </w:num>
  <w:num w:numId="26" w16cid:durableId="631711408">
    <w:abstractNumId w:val="17"/>
  </w:num>
  <w:num w:numId="27" w16cid:durableId="1320429039">
    <w:abstractNumId w:val="17"/>
  </w:num>
  <w:num w:numId="28" w16cid:durableId="2016959367">
    <w:abstractNumId w:val="26"/>
  </w:num>
  <w:num w:numId="29" w16cid:durableId="685639166">
    <w:abstractNumId w:val="18"/>
  </w:num>
  <w:num w:numId="30" w16cid:durableId="1432124489">
    <w:abstractNumId w:val="20"/>
  </w:num>
  <w:num w:numId="31" w16cid:durableId="1480807019">
    <w:abstractNumId w:val="13"/>
  </w:num>
  <w:num w:numId="32" w16cid:durableId="412245794">
    <w:abstractNumId w:val="14"/>
  </w:num>
  <w:num w:numId="33" w16cid:durableId="861281805">
    <w:abstractNumId w:val="10"/>
  </w:num>
  <w:num w:numId="34" w16cid:durableId="20041071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A0"/>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611"/>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1BAF"/>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3C69"/>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5AC"/>
    <w:rsid w:val="00065E6C"/>
    <w:rsid w:val="000664A9"/>
    <w:rsid w:val="000666CE"/>
    <w:rsid w:val="00066738"/>
    <w:rsid w:val="00066B54"/>
    <w:rsid w:val="00066DF8"/>
    <w:rsid w:val="000670DB"/>
    <w:rsid w:val="00067333"/>
    <w:rsid w:val="0006774A"/>
    <w:rsid w:val="00067B58"/>
    <w:rsid w:val="00067E23"/>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2E2"/>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64D"/>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4A7"/>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9A"/>
    <w:rsid w:val="00162CBB"/>
    <w:rsid w:val="00162F8D"/>
    <w:rsid w:val="0016374B"/>
    <w:rsid w:val="00163C33"/>
    <w:rsid w:val="00163CAD"/>
    <w:rsid w:val="00164313"/>
    <w:rsid w:val="00164C19"/>
    <w:rsid w:val="00165467"/>
    <w:rsid w:val="0016563B"/>
    <w:rsid w:val="001656A0"/>
    <w:rsid w:val="001656ED"/>
    <w:rsid w:val="00165A9A"/>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335"/>
    <w:rsid w:val="00181640"/>
    <w:rsid w:val="00181C36"/>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3F61"/>
    <w:rsid w:val="001D4160"/>
    <w:rsid w:val="001D4C26"/>
    <w:rsid w:val="001D50A6"/>
    <w:rsid w:val="001D518A"/>
    <w:rsid w:val="001D5810"/>
    <w:rsid w:val="001D667F"/>
    <w:rsid w:val="001D6D48"/>
    <w:rsid w:val="001D6F4E"/>
    <w:rsid w:val="001D717B"/>
    <w:rsid w:val="001D72C9"/>
    <w:rsid w:val="001D75E4"/>
    <w:rsid w:val="001D7D70"/>
    <w:rsid w:val="001D7F89"/>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497"/>
    <w:rsid w:val="001E7B55"/>
    <w:rsid w:val="001E7F68"/>
    <w:rsid w:val="001E7FAA"/>
    <w:rsid w:val="001F067B"/>
    <w:rsid w:val="001F1AA1"/>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6C"/>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CFF"/>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5927"/>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B5"/>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721"/>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A7399"/>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6A49"/>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C93"/>
    <w:rsid w:val="00303D79"/>
    <w:rsid w:val="00303EDD"/>
    <w:rsid w:val="00304596"/>
    <w:rsid w:val="00304651"/>
    <w:rsid w:val="00304883"/>
    <w:rsid w:val="00304DCD"/>
    <w:rsid w:val="00304FE3"/>
    <w:rsid w:val="00305144"/>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15B1"/>
    <w:rsid w:val="0033246B"/>
    <w:rsid w:val="00332DC3"/>
    <w:rsid w:val="003334AF"/>
    <w:rsid w:val="003334F2"/>
    <w:rsid w:val="00333573"/>
    <w:rsid w:val="003335D5"/>
    <w:rsid w:val="003337E8"/>
    <w:rsid w:val="00333FA0"/>
    <w:rsid w:val="003340DA"/>
    <w:rsid w:val="00334A52"/>
    <w:rsid w:val="0033547A"/>
    <w:rsid w:val="00335FB7"/>
    <w:rsid w:val="0033633B"/>
    <w:rsid w:val="003367FC"/>
    <w:rsid w:val="00336C58"/>
    <w:rsid w:val="00336D20"/>
    <w:rsid w:val="00336F31"/>
    <w:rsid w:val="00337945"/>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32"/>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1A9"/>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6D4"/>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42A"/>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A6F"/>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C7C2D"/>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446E"/>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059"/>
    <w:rsid w:val="003F71C6"/>
    <w:rsid w:val="003F7215"/>
    <w:rsid w:val="003F7A31"/>
    <w:rsid w:val="003F7AE3"/>
    <w:rsid w:val="003F7C1A"/>
    <w:rsid w:val="0040027C"/>
    <w:rsid w:val="00401C11"/>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082B"/>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5D9"/>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3BC"/>
    <w:rsid w:val="00442811"/>
    <w:rsid w:val="00442FEE"/>
    <w:rsid w:val="0044323C"/>
    <w:rsid w:val="004432BC"/>
    <w:rsid w:val="00443374"/>
    <w:rsid w:val="00443391"/>
    <w:rsid w:val="004434D1"/>
    <w:rsid w:val="004438C2"/>
    <w:rsid w:val="00443FAD"/>
    <w:rsid w:val="004446F9"/>
    <w:rsid w:val="00444819"/>
    <w:rsid w:val="00444C35"/>
    <w:rsid w:val="004451E3"/>
    <w:rsid w:val="00445341"/>
    <w:rsid w:val="00445590"/>
    <w:rsid w:val="00445922"/>
    <w:rsid w:val="00445A49"/>
    <w:rsid w:val="0044624A"/>
    <w:rsid w:val="004476DA"/>
    <w:rsid w:val="00447842"/>
    <w:rsid w:val="00447AE5"/>
    <w:rsid w:val="004502D5"/>
    <w:rsid w:val="00451207"/>
    <w:rsid w:val="004515E7"/>
    <w:rsid w:val="0045179B"/>
    <w:rsid w:val="004517B5"/>
    <w:rsid w:val="00451966"/>
    <w:rsid w:val="004519F7"/>
    <w:rsid w:val="00451A6D"/>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29C3"/>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B64"/>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34"/>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4C8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14B"/>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317"/>
    <w:rsid w:val="004E6460"/>
    <w:rsid w:val="004E6BDA"/>
    <w:rsid w:val="004E70A0"/>
    <w:rsid w:val="004E70F1"/>
    <w:rsid w:val="004E7247"/>
    <w:rsid w:val="004E733B"/>
    <w:rsid w:val="004E73EF"/>
    <w:rsid w:val="004E7702"/>
    <w:rsid w:val="004E7902"/>
    <w:rsid w:val="004E7ABC"/>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5FAC"/>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92B"/>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0B2F"/>
    <w:rsid w:val="00542297"/>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0AD8"/>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9F1"/>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A3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2E03"/>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4E0D"/>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764"/>
    <w:rsid w:val="00630CFF"/>
    <w:rsid w:val="00631998"/>
    <w:rsid w:val="00631D11"/>
    <w:rsid w:val="00631D9A"/>
    <w:rsid w:val="00633202"/>
    <w:rsid w:val="006335BB"/>
    <w:rsid w:val="00633A2A"/>
    <w:rsid w:val="00633AF1"/>
    <w:rsid w:val="00633C30"/>
    <w:rsid w:val="00633D99"/>
    <w:rsid w:val="00633E17"/>
    <w:rsid w:val="00633FB6"/>
    <w:rsid w:val="00634270"/>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66B06"/>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0B"/>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0B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06F"/>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912"/>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1F5E"/>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D71"/>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4BA"/>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078D5"/>
    <w:rsid w:val="00710611"/>
    <w:rsid w:val="00710625"/>
    <w:rsid w:val="007109D5"/>
    <w:rsid w:val="0071110A"/>
    <w:rsid w:val="00711274"/>
    <w:rsid w:val="007115F1"/>
    <w:rsid w:val="007119C5"/>
    <w:rsid w:val="00711D0A"/>
    <w:rsid w:val="00712D40"/>
    <w:rsid w:val="00712EF5"/>
    <w:rsid w:val="00712FA9"/>
    <w:rsid w:val="007130A3"/>
    <w:rsid w:val="00714D0C"/>
    <w:rsid w:val="0071529E"/>
    <w:rsid w:val="00715431"/>
    <w:rsid w:val="00715E78"/>
    <w:rsid w:val="00716532"/>
    <w:rsid w:val="00716745"/>
    <w:rsid w:val="007176BC"/>
    <w:rsid w:val="007176FC"/>
    <w:rsid w:val="007177D2"/>
    <w:rsid w:val="00717A62"/>
    <w:rsid w:val="00717CF7"/>
    <w:rsid w:val="00720067"/>
    <w:rsid w:val="00720084"/>
    <w:rsid w:val="00720592"/>
    <w:rsid w:val="0072080F"/>
    <w:rsid w:val="0072136F"/>
    <w:rsid w:val="007213A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916"/>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806"/>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2001"/>
    <w:rsid w:val="007D3CB5"/>
    <w:rsid w:val="007D3FE8"/>
    <w:rsid w:val="007D443D"/>
    <w:rsid w:val="007D4CBE"/>
    <w:rsid w:val="007D5609"/>
    <w:rsid w:val="007D563D"/>
    <w:rsid w:val="007D5905"/>
    <w:rsid w:val="007D5C6C"/>
    <w:rsid w:val="007D6840"/>
    <w:rsid w:val="007D6A5F"/>
    <w:rsid w:val="007D6E6E"/>
    <w:rsid w:val="007D7F0A"/>
    <w:rsid w:val="007E0373"/>
    <w:rsid w:val="007E0609"/>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5FC"/>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6C9"/>
    <w:rsid w:val="00874A7D"/>
    <w:rsid w:val="00875185"/>
    <w:rsid w:val="008754FB"/>
    <w:rsid w:val="0087583D"/>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624"/>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45C"/>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AD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48D"/>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32F"/>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47D"/>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2C62"/>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880"/>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2AD"/>
    <w:rsid w:val="00950405"/>
    <w:rsid w:val="009505A9"/>
    <w:rsid w:val="009509C3"/>
    <w:rsid w:val="00950CB9"/>
    <w:rsid w:val="00951322"/>
    <w:rsid w:val="00951654"/>
    <w:rsid w:val="00951F78"/>
    <w:rsid w:val="009521B7"/>
    <w:rsid w:val="009523C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9FA"/>
    <w:rsid w:val="00973AE1"/>
    <w:rsid w:val="00973ED9"/>
    <w:rsid w:val="0097408F"/>
    <w:rsid w:val="0097411A"/>
    <w:rsid w:val="0097427A"/>
    <w:rsid w:val="00974AAE"/>
    <w:rsid w:val="00974FC9"/>
    <w:rsid w:val="00975047"/>
    <w:rsid w:val="00975379"/>
    <w:rsid w:val="00975522"/>
    <w:rsid w:val="00975611"/>
    <w:rsid w:val="0097567D"/>
    <w:rsid w:val="00975CC7"/>
    <w:rsid w:val="0097619E"/>
    <w:rsid w:val="009764D7"/>
    <w:rsid w:val="00976C72"/>
    <w:rsid w:val="00976E12"/>
    <w:rsid w:val="0097738B"/>
    <w:rsid w:val="00977462"/>
    <w:rsid w:val="00977471"/>
    <w:rsid w:val="00977780"/>
    <w:rsid w:val="00977991"/>
    <w:rsid w:val="00977D74"/>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408"/>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48E"/>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8C"/>
    <w:rsid w:val="009B02DB"/>
    <w:rsid w:val="009B05CC"/>
    <w:rsid w:val="009B0ABB"/>
    <w:rsid w:val="009B1609"/>
    <w:rsid w:val="009B16E4"/>
    <w:rsid w:val="009B178F"/>
    <w:rsid w:val="009B1B48"/>
    <w:rsid w:val="009B1D01"/>
    <w:rsid w:val="009B1FF9"/>
    <w:rsid w:val="009B2F51"/>
    <w:rsid w:val="009B320C"/>
    <w:rsid w:val="009B41B3"/>
    <w:rsid w:val="009B4483"/>
    <w:rsid w:val="009B48F4"/>
    <w:rsid w:val="009B4DD3"/>
    <w:rsid w:val="009B55BF"/>
    <w:rsid w:val="009B57FD"/>
    <w:rsid w:val="009B5890"/>
    <w:rsid w:val="009B5D00"/>
    <w:rsid w:val="009B68EA"/>
    <w:rsid w:val="009B6C59"/>
    <w:rsid w:val="009B7A2F"/>
    <w:rsid w:val="009B7E27"/>
    <w:rsid w:val="009B7F08"/>
    <w:rsid w:val="009C014E"/>
    <w:rsid w:val="009C09AA"/>
    <w:rsid w:val="009C11BF"/>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0D9"/>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3BF"/>
    <w:rsid w:val="009D45ED"/>
    <w:rsid w:val="009D49C4"/>
    <w:rsid w:val="009D4B6E"/>
    <w:rsid w:val="009D4D2A"/>
    <w:rsid w:val="009D55C7"/>
    <w:rsid w:val="009D5863"/>
    <w:rsid w:val="009D5B4A"/>
    <w:rsid w:val="009D6488"/>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7B"/>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01C"/>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191"/>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1FEE"/>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6E"/>
    <w:rsid w:val="00A27780"/>
    <w:rsid w:val="00A3005B"/>
    <w:rsid w:val="00A3017A"/>
    <w:rsid w:val="00A30589"/>
    <w:rsid w:val="00A307F0"/>
    <w:rsid w:val="00A3094D"/>
    <w:rsid w:val="00A309E3"/>
    <w:rsid w:val="00A30AC4"/>
    <w:rsid w:val="00A3103A"/>
    <w:rsid w:val="00A31104"/>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666"/>
    <w:rsid w:val="00A5078F"/>
    <w:rsid w:val="00A50D5E"/>
    <w:rsid w:val="00A510D3"/>
    <w:rsid w:val="00A51BD6"/>
    <w:rsid w:val="00A52186"/>
    <w:rsid w:val="00A53155"/>
    <w:rsid w:val="00A53985"/>
    <w:rsid w:val="00A539C1"/>
    <w:rsid w:val="00A5406B"/>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483"/>
    <w:rsid w:val="00A5780D"/>
    <w:rsid w:val="00A578AA"/>
    <w:rsid w:val="00A57C10"/>
    <w:rsid w:val="00A57D5B"/>
    <w:rsid w:val="00A60089"/>
    <w:rsid w:val="00A6012E"/>
    <w:rsid w:val="00A60E2D"/>
    <w:rsid w:val="00A60EF1"/>
    <w:rsid w:val="00A61206"/>
    <w:rsid w:val="00A6171A"/>
    <w:rsid w:val="00A61BEF"/>
    <w:rsid w:val="00A6265A"/>
    <w:rsid w:val="00A62E0E"/>
    <w:rsid w:val="00A630B7"/>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616"/>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88D"/>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3CE"/>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6F6"/>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C6"/>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8E7"/>
    <w:rsid w:val="00AD6A8A"/>
    <w:rsid w:val="00AD6AA6"/>
    <w:rsid w:val="00AD7475"/>
    <w:rsid w:val="00AD7C1B"/>
    <w:rsid w:val="00AD7D5A"/>
    <w:rsid w:val="00AD7EA5"/>
    <w:rsid w:val="00AE0CEB"/>
    <w:rsid w:val="00AE1404"/>
    <w:rsid w:val="00AE1689"/>
    <w:rsid w:val="00AE1A81"/>
    <w:rsid w:val="00AE1AE0"/>
    <w:rsid w:val="00AE21FB"/>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67C6"/>
    <w:rsid w:val="00AE6B34"/>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5A0"/>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5A9"/>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6A0"/>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189C"/>
    <w:rsid w:val="00B62161"/>
    <w:rsid w:val="00B630F5"/>
    <w:rsid w:val="00B637E1"/>
    <w:rsid w:val="00B63C5B"/>
    <w:rsid w:val="00B63ECC"/>
    <w:rsid w:val="00B648D1"/>
    <w:rsid w:val="00B64FE2"/>
    <w:rsid w:val="00B650EE"/>
    <w:rsid w:val="00B65601"/>
    <w:rsid w:val="00B65A9A"/>
    <w:rsid w:val="00B65B61"/>
    <w:rsid w:val="00B661EE"/>
    <w:rsid w:val="00B66316"/>
    <w:rsid w:val="00B66E32"/>
    <w:rsid w:val="00B67428"/>
    <w:rsid w:val="00B674E7"/>
    <w:rsid w:val="00B7032C"/>
    <w:rsid w:val="00B704C5"/>
    <w:rsid w:val="00B70551"/>
    <w:rsid w:val="00B7269C"/>
    <w:rsid w:val="00B72A1D"/>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E7D"/>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1FEB"/>
    <w:rsid w:val="00BB2404"/>
    <w:rsid w:val="00BB2423"/>
    <w:rsid w:val="00BB3055"/>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5FD5"/>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4C80"/>
    <w:rsid w:val="00BF5440"/>
    <w:rsid w:val="00BF55AF"/>
    <w:rsid w:val="00BF58B7"/>
    <w:rsid w:val="00BF59D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49BE"/>
    <w:rsid w:val="00C25070"/>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DCD"/>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12C"/>
    <w:rsid w:val="00C41595"/>
    <w:rsid w:val="00C41637"/>
    <w:rsid w:val="00C41746"/>
    <w:rsid w:val="00C41B5D"/>
    <w:rsid w:val="00C41BFE"/>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157"/>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3E4"/>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475"/>
    <w:rsid w:val="00CA4D0E"/>
    <w:rsid w:val="00CA4F21"/>
    <w:rsid w:val="00CA535A"/>
    <w:rsid w:val="00CA56B8"/>
    <w:rsid w:val="00CA56FE"/>
    <w:rsid w:val="00CA6565"/>
    <w:rsid w:val="00CA793E"/>
    <w:rsid w:val="00CA7C7A"/>
    <w:rsid w:val="00CB0279"/>
    <w:rsid w:val="00CB0955"/>
    <w:rsid w:val="00CB0EE5"/>
    <w:rsid w:val="00CB0FC8"/>
    <w:rsid w:val="00CB1885"/>
    <w:rsid w:val="00CB1922"/>
    <w:rsid w:val="00CB2657"/>
    <w:rsid w:val="00CB2EA3"/>
    <w:rsid w:val="00CB35BD"/>
    <w:rsid w:val="00CB36FD"/>
    <w:rsid w:val="00CB3A5D"/>
    <w:rsid w:val="00CB3EAC"/>
    <w:rsid w:val="00CB3EE6"/>
    <w:rsid w:val="00CB4A93"/>
    <w:rsid w:val="00CB4D9D"/>
    <w:rsid w:val="00CB50A0"/>
    <w:rsid w:val="00CB6001"/>
    <w:rsid w:val="00CB616F"/>
    <w:rsid w:val="00CB6306"/>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6FA"/>
    <w:rsid w:val="00CC48EF"/>
    <w:rsid w:val="00CC4A19"/>
    <w:rsid w:val="00CC4BE8"/>
    <w:rsid w:val="00CC59C3"/>
    <w:rsid w:val="00CC5A4D"/>
    <w:rsid w:val="00CC5DA0"/>
    <w:rsid w:val="00CC6139"/>
    <w:rsid w:val="00CC64EE"/>
    <w:rsid w:val="00CC6820"/>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408"/>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9AA"/>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8BE"/>
    <w:rsid w:val="00CF4DD4"/>
    <w:rsid w:val="00CF4DE8"/>
    <w:rsid w:val="00CF4E94"/>
    <w:rsid w:val="00CF5197"/>
    <w:rsid w:val="00CF52B7"/>
    <w:rsid w:val="00CF5626"/>
    <w:rsid w:val="00CF5723"/>
    <w:rsid w:val="00CF59CE"/>
    <w:rsid w:val="00CF5B6F"/>
    <w:rsid w:val="00CF6197"/>
    <w:rsid w:val="00CF6DAD"/>
    <w:rsid w:val="00CF768E"/>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51F"/>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2A0"/>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37C82"/>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1DBA"/>
    <w:rsid w:val="00D5230C"/>
    <w:rsid w:val="00D523B1"/>
    <w:rsid w:val="00D52478"/>
    <w:rsid w:val="00D528C2"/>
    <w:rsid w:val="00D52A4E"/>
    <w:rsid w:val="00D52F24"/>
    <w:rsid w:val="00D5317B"/>
    <w:rsid w:val="00D5319D"/>
    <w:rsid w:val="00D531BC"/>
    <w:rsid w:val="00D5397B"/>
    <w:rsid w:val="00D53C43"/>
    <w:rsid w:val="00D53E36"/>
    <w:rsid w:val="00D54261"/>
    <w:rsid w:val="00D547AA"/>
    <w:rsid w:val="00D54C21"/>
    <w:rsid w:val="00D54C47"/>
    <w:rsid w:val="00D54FB6"/>
    <w:rsid w:val="00D550D9"/>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30"/>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0429"/>
    <w:rsid w:val="00DA1173"/>
    <w:rsid w:val="00DA12B3"/>
    <w:rsid w:val="00DA13C2"/>
    <w:rsid w:val="00DA15BB"/>
    <w:rsid w:val="00DA18D7"/>
    <w:rsid w:val="00DA1CDB"/>
    <w:rsid w:val="00DA205B"/>
    <w:rsid w:val="00DA2824"/>
    <w:rsid w:val="00DA2BE8"/>
    <w:rsid w:val="00DA2EB8"/>
    <w:rsid w:val="00DA2FCD"/>
    <w:rsid w:val="00DA3408"/>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0CC"/>
    <w:rsid w:val="00DB6534"/>
    <w:rsid w:val="00DB6588"/>
    <w:rsid w:val="00DB6711"/>
    <w:rsid w:val="00DB705A"/>
    <w:rsid w:val="00DC02A9"/>
    <w:rsid w:val="00DC052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C16"/>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DB8"/>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898"/>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1A9"/>
    <w:rsid w:val="00E46607"/>
    <w:rsid w:val="00E46665"/>
    <w:rsid w:val="00E466A2"/>
    <w:rsid w:val="00E467D2"/>
    <w:rsid w:val="00E467F1"/>
    <w:rsid w:val="00E4694C"/>
    <w:rsid w:val="00E46BDE"/>
    <w:rsid w:val="00E47737"/>
    <w:rsid w:val="00E47836"/>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563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D85"/>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38B1"/>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EEE"/>
    <w:rsid w:val="00EA6FC2"/>
    <w:rsid w:val="00EA781D"/>
    <w:rsid w:val="00EA7AD2"/>
    <w:rsid w:val="00EB00C1"/>
    <w:rsid w:val="00EB02C2"/>
    <w:rsid w:val="00EB03CB"/>
    <w:rsid w:val="00EB0455"/>
    <w:rsid w:val="00EB06DB"/>
    <w:rsid w:val="00EB1184"/>
    <w:rsid w:val="00EB14D9"/>
    <w:rsid w:val="00EB1572"/>
    <w:rsid w:val="00EB16ED"/>
    <w:rsid w:val="00EB1CC0"/>
    <w:rsid w:val="00EB2156"/>
    <w:rsid w:val="00EB21EC"/>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A47"/>
    <w:rsid w:val="00ED1C63"/>
    <w:rsid w:val="00ED2590"/>
    <w:rsid w:val="00ED2A6B"/>
    <w:rsid w:val="00ED3326"/>
    <w:rsid w:val="00ED3380"/>
    <w:rsid w:val="00ED3459"/>
    <w:rsid w:val="00ED36B1"/>
    <w:rsid w:val="00ED3A5B"/>
    <w:rsid w:val="00ED4687"/>
    <w:rsid w:val="00ED4769"/>
    <w:rsid w:val="00ED4C83"/>
    <w:rsid w:val="00ED5000"/>
    <w:rsid w:val="00ED529C"/>
    <w:rsid w:val="00ED5586"/>
    <w:rsid w:val="00ED57D2"/>
    <w:rsid w:val="00ED5C50"/>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C0"/>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C14"/>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B1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538"/>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C53"/>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B3E"/>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607"/>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158"/>
    <w:rsid w:val="00FB659D"/>
    <w:rsid w:val="00FB6A54"/>
    <w:rsid w:val="00FB6AA3"/>
    <w:rsid w:val="00FB734D"/>
    <w:rsid w:val="00FB74DE"/>
    <w:rsid w:val="00FB7745"/>
    <w:rsid w:val="00FB7A56"/>
    <w:rsid w:val="00FB7A6D"/>
    <w:rsid w:val="00FB7D03"/>
    <w:rsid w:val="00FB7FC7"/>
    <w:rsid w:val="00FB7FEC"/>
    <w:rsid w:val="00FC0105"/>
    <w:rsid w:val="00FC036D"/>
    <w:rsid w:val="00FC0A0E"/>
    <w:rsid w:val="00FC0B68"/>
    <w:rsid w:val="00FC0FC2"/>
    <w:rsid w:val="00FC14ED"/>
    <w:rsid w:val="00FC1692"/>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7B0"/>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75A"/>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59697"/>
  <w15:docId w15:val="{8BE360E7-AE92-41D8-A2D2-343C3B0A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F73C53"/>
    <w:pPr>
      <w:keepLines w:val="0"/>
      <w:numPr>
        <w:numId w:val="15"/>
      </w:numPr>
      <w:tabs>
        <w:tab w:val="clear" w:pos="3904"/>
        <w:tab w:val="num" w:pos="426"/>
      </w:tabs>
      <w:overflowPunct/>
      <w:autoSpaceDE/>
      <w:autoSpaceDN/>
      <w:adjustRightInd/>
      <w:spacing w:before="360"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4446F9"/>
    <w:pPr>
      <w:keepNext/>
      <w:keepLines/>
      <w:numPr>
        <w:numId w:val="34"/>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F73C53"/>
    <w:rPr>
      <w:rFonts w:ascii="Arial Narrow" w:hAnsi="Arial Narrow"/>
      <w:b/>
      <w:caps/>
      <w:sz w:val="22"/>
      <w:szCs w:val="22"/>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4446F9"/>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0451F"/>
    <w:pPr>
      <w:spacing w:before="0"/>
      <w:ind w:left="360"/>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7"/>
      </w:numPr>
      <w:tabs>
        <w:tab w:val="clear" w:pos="3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5C4A33"/>
    <w:pPr>
      <w:spacing w:before="240"/>
      <w:ind w:left="284"/>
      <w:jc w:val="both"/>
    </w:pPr>
    <w:rPr>
      <w:rFonts w:ascii="Arial Narrow" w:eastAsia="Calibri" w:hAnsi="Arial Narrow"/>
      <w:sz w:val="22"/>
      <w:szCs w:val="22"/>
    </w:rPr>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567" w:hanging="283"/>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 w:type="character" w:customStyle="1" w:styleId="hgkelc">
    <w:name w:val="hgkelc"/>
    <w:basedOn w:val="Policepardfaut"/>
    <w:rsid w:val="00BB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ccl2</Template>
  <TotalTime>1701</TotalTime>
  <Pages>6</Pages>
  <Words>3031</Words>
  <Characters>16673</Characters>
  <Application>Microsoft Office Word</Application>
  <DocSecurity>8</DocSecurity>
  <Lines>138</Lines>
  <Paragraphs>39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19665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keywords/>
  <dc:description/>
  <cp:lastModifiedBy>Joseph AUVINET</cp:lastModifiedBy>
  <cp:revision>25</cp:revision>
  <cp:lastPrinted>2025-04-06T13:36:00Z</cp:lastPrinted>
  <dcterms:created xsi:type="dcterms:W3CDTF">2025-04-02T16:28:00Z</dcterms:created>
  <dcterms:modified xsi:type="dcterms:W3CDTF">2025-04-06T13:37:00Z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