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0E500" w14:textId="2A4FF493" w:rsidR="00174199" w:rsidRPr="00174199" w:rsidRDefault="00174199" w:rsidP="00174199">
      <w:pPr>
        <w:spacing w:before="0" w:after="120"/>
        <w:rPr>
          <w:rFonts w:ascii="Arial Narrow" w:hAnsi="Arial Narrow"/>
          <w:b/>
          <w:bCs/>
          <w:sz w:val="36"/>
          <w:szCs w:val="36"/>
          <w:lang w:eastAsia="fr-FR"/>
        </w:rPr>
      </w:pPr>
      <w:r w:rsidRPr="00174199">
        <w:rPr>
          <w:rFonts w:ascii="Arial Narrow" w:hAnsi="Arial Narrow"/>
          <w:b/>
          <w:bCs/>
          <w:sz w:val="36"/>
          <w:szCs w:val="36"/>
          <w:lang w:eastAsia="fr-FR"/>
        </w:rPr>
        <w:t>Commission de recours amiable</w:t>
      </w:r>
    </w:p>
    <w:p w14:paraId="7355C6F3" w14:textId="633020C4" w:rsidR="00174199" w:rsidRPr="00174199" w:rsidRDefault="00174199" w:rsidP="00174199">
      <w:pPr>
        <w:spacing w:before="0" w:after="120"/>
        <w:outlineLvl w:val="1"/>
        <w:rPr>
          <w:rFonts w:ascii="Arial Narrow" w:hAnsi="Arial Narrow"/>
          <w:b/>
          <w:bCs/>
          <w:sz w:val="22"/>
          <w:szCs w:val="22"/>
          <w:lang w:eastAsia="fr-FR"/>
        </w:rPr>
      </w:pPr>
      <w:hyperlink r:id="rId8" w:history="1">
        <w:r w:rsidRPr="008B2EB8">
          <w:rPr>
            <w:rStyle w:val="Lienhypertexte"/>
            <w:rFonts w:ascii="Arial Narrow" w:hAnsi="Arial Narrow"/>
            <w:sz w:val="22"/>
            <w:szCs w:val="22"/>
            <w:lang w:eastAsia="fr-FR"/>
          </w:rPr>
          <w:t>https://www.legislation.cnav.fr/Pages/expose.aspx?Nom=contestation_cra_ex</w:t>
        </w:r>
      </w:hyperlink>
    </w:p>
    <w:p w14:paraId="31FCCD11" w14:textId="60854285" w:rsidR="00174199" w:rsidRPr="00174199" w:rsidRDefault="00174199" w:rsidP="00174199">
      <w:pPr>
        <w:numPr>
          <w:ilvl w:val="0"/>
          <w:numId w:val="15"/>
        </w:numPr>
        <w:spacing w:before="0" w:after="120"/>
        <w:ind w:left="0" w:firstLine="0"/>
        <w:outlineLvl w:val="1"/>
        <w:rPr>
          <w:rFonts w:ascii="Arial Narrow" w:hAnsi="Arial Narrow"/>
          <w:b/>
          <w:bCs/>
          <w:sz w:val="22"/>
          <w:szCs w:val="22"/>
          <w:lang w:eastAsia="fr-FR"/>
        </w:rPr>
      </w:pPr>
      <w:r w:rsidRPr="00174199">
        <w:rPr>
          <w:rFonts w:ascii="Arial Narrow" w:hAnsi="Arial Narrow"/>
          <w:b/>
          <w:bCs/>
          <w:sz w:val="22"/>
          <w:szCs w:val="22"/>
          <w:lang w:eastAsia="fr-FR"/>
        </w:rPr>
        <w:t>Rôle et composition</w:t>
      </w:r>
    </w:p>
    <w:p w14:paraId="4A53D4AD"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 xml:space="preserve">La commission de recours amiable (CRA) n'est pas une juridiction, ses décisions sont de nature administrative. </w:t>
      </w:r>
      <w:proofErr w:type="gramStart"/>
      <w:r w:rsidRPr="00174199">
        <w:rPr>
          <w:rFonts w:ascii="Arial Narrow" w:hAnsi="Arial Narrow"/>
          <w:sz w:val="22"/>
          <w:szCs w:val="22"/>
          <w:lang w:eastAsia="fr-FR"/>
        </w:rPr>
        <w:t>La CRA</w:t>
      </w:r>
      <w:proofErr w:type="gramEnd"/>
      <w:r w:rsidRPr="00174199">
        <w:rPr>
          <w:rFonts w:ascii="Arial Narrow" w:hAnsi="Arial Narrow"/>
          <w:sz w:val="22"/>
          <w:szCs w:val="22"/>
          <w:lang w:eastAsia="fr-FR"/>
        </w:rPr>
        <w:t xml:space="preserve"> est composée et constituée au sein du conseil d'administration de chaque organisme. </w:t>
      </w:r>
    </w:p>
    <w:p w14:paraId="0D12BFFA" w14:textId="77777777" w:rsidR="00174199" w:rsidRPr="00174199" w:rsidRDefault="00174199" w:rsidP="00174199">
      <w:pPr>
        <w:spacing w:before="0" w:after="120"/>
        <w:rPr>
          <w:rFonts w:ascii="Arial Narrow" w:hAnsi="Arial Narrow"/>
          <w:sz w:val="22"/>
          <w:szCs w:val="22"/>
          <w:lang w:eastAsia="fr-FR"/>
        </w:rPr>
      </w:pPr>
      <w:hyperlink r:id="rId9" w:tgtFrame="_blank" w:tooltip="Article L142-1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L142-1</w:t>
        </w:r>
      </w:hyperlink>
      <w:r w:rsidRPr="00174199">
        <w:rPr>
          <w:rFonts w:ascii="Arial Narrow" w:hAnsi="Arial Narrow"/>
          <w:sz w:val="22"/>
          <w:szCs w:val="22"/>
          <w:lang w:eastAsia="fr-FR"/>
        </w:rPr>
        <w:t>, </w:t>
      </w:r>
      <w:hyperlink r:id="rId10" w:tgtFrame="_blank" w:tooltip="Article R142-1 du code de la sécurité sociale (Ce lien s'ouvre dans une nouvelle fenêtre)" w:history="1">
        <w:r w:rsidRPr="00174199">
          <w:rPr>
            <w:rFonts w:ascii="Arial Narrow" w:hAnsi="Arial Narrow"/>
            <w:color w:val="0000FF"/>
            <w:sz w:val="22"/>
            <w:szCs w:val="22"/>
            <w:u w:val="single"/>
            <w:lang w:eastAsia="fr-FR"/>
          </w:rPr>
          <w:t>art. R142-1</w:t>
        </w:r>
      </w:hyperlink>
      <w:r w:rsidRPr="00174199">
        <w:rPr>
          <w:rFonts w:ascii="Arial Narrow" w:hAnsi="Arial Narrow"/>
          <w:sz w:val="22"/>
          <w:szCs w:val="22"/>
          <w:lang w:eastAsia="fr-FR"/>
        </w:rPr>
        <w:t xml:space="preserve">, </w:t>
      </w:r>
      <w:hyperlink r:id="rId11" w:tgtFrame="_blank" w:tooltip="Article R142-2 du code de la sécurité sociale (Ce lien s'ouvre dans une nouvelle fenêtre)" w:history="1">
        <w:r w:rsidRPr="00174199">
          <w:rPr>
            <w:rFonts w:ascii="Arial Narrow" w:hAnsi="Arial Narrow"/>
            <w:color w:val="0000FF"/>
            <w:sz w:val="22"/>
            <w:szCs w:val="22"/>
            <w:u w:val="single"/>
            <w:lang w:eastAsia="fr-FR"/>
          </w:rPr>
          <w:t>art. R142-2</w:t>
        </w:r>
      </w:hyperlink>
      <w:r w:rsidRPr="00174199">
        <w:rPr>
          <w:rFonts w:ascii="Arial Narrow" w:hAnsi="Arial Narrow"/>
          <w:sz w:val="22"/>
          <w:szCs w:val="22"/>
          <w:lang w:eastAsia="fr-FR"/>
        </w:rPr>
        <w:t xml:space="preserve">, </w:t>
      </w:r>
      <w:hyperlink r:id="rId12" w:tgtFrame="_blank" w:tooltip="Article R215-4 du code de la sécurité sociale (Ce lien s'ouvre dans une nouvelle fenêtre)" w:history="1">
        <w:r w:rsidRPr="00174199">
          <w:rPr>
            <w:rFonts w:ascii="Arial Narrow" w:hAnsi="Arial Narrow"/>
            <w:color w:val="0000FF"/>
            <w:sz w:val="22"/>
            <w:szCs w:val="22"/>
            <w:u w:val="single"/>
            <w:lang w:eastAsia="fr-FR"/>
          </w:rPr>
          <w:t>art. R215-4</w:t>
        </w:r>
      </w:hyperlink>
      <w:r w:rsidRPr="00174199">
        <w:rPr>
          <w:rFonts w:ascii="Arial Narrow" w:hAnsi="Arial Narrow"/>
          <w:sz w:val="22"/>
          <w:szCs w:val="22"/>
          <w:lang w:eastAsia="fr-FR"/>
        </w:rPr>
        <w:t xml:space="preserve"> </w:t>
      </w:r>
      <w:r w:rsidRPr="00174199">
        <w:rPr>
          <w:rFonts w:ascii="Arial Narrow" w:hAnsi="Arial Narrow"/>
          <w:sz w:val="22"/>
          <w:szCs w:val="22"/>
          <w:lang w:eastAsia="fr-FR"/>
        </w:rPr>
        <w:br/>
      </w:r>
      <w:hyperlink r:id="rId13" w:tgtFrame="_blank" w:tooltip="Décret 2018/199 du 23/03/2018 (Ce lien s'ouvre dans une nouvelle fenêtre)" w:history="1">
        <w:r w:rsidRPr="00174199">
          <w:rPr>
            <w:rFonts w:ascii="Arial Narrow" w:hAnsi="Arial Narrow"/>
            <w:color w:val="0000FF"/>
            <w:sz w:val="22"/>
            <w:szCs w:val="22"/>
            <w:u w:val="single"/>
            <w:lang w:eastAsia="fr-FR"/>
          </w:rPr>
          <w:t>Décret 2018/199 du 23/03/2018</w:t>
        </w:r>
      </w:hyperlink>
    </w:p>
    <w:p w14:paraId="09347AB3"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 xml:space="preserve">La procédure amiable préalable est obligatoire avant toute </w:t>
      </w:r>
      <w:hyperlink r:id="rId14" w:tgtFrame="_blank" w:tooltip="Définition (Ce lien s'ouvre dans une nouvelle fenêtre)" w:history="1">
        <w:r w:rsidRPr="00174199">
          <w:rPr>
            <w:rFonts w:ascii="Arial Narrow" w:hAnsi="Arial Narrow"/>
            <w:color w:val="0000FF"/>
            <w:sz w:val="22"/>
            <w:szCs w:val="22"/>
            <w:u w:val="single"/>
            <w:lang w:eastAsia="fr-FR"/>
          </w:rPr>
          <w:t>action contentieuse</w:t>
        </w:r>
      </w:hyperlink>
      <w:r w:rsidRPr="00174199">
        <w:rPr>
          <w:rFonts w:ascii="Arial Narrow" w:hAnsi="Arial Narrow"/>
          <w:sz w:val="22"/>
          <w:szCs w:val="22"/>
          <w:lang w:eastAsia="fr-FR"/>
        </w:rPr>
        <w:t>. Le recours direct devant les tribunaux est irrecevable.</w:t>
      </w:r>
    </w:p>
    <w:p w14:paraId="3D53E40B" w14:textId="77777777" w:rsidR="00174199" w:rsidRPr="00174199" w:rsidRDefault="00174199" w:rsidP="00174199">
      <w:pPr>
        <w:spacing w:before="0" w:after="120"/>
        <w:rPr>
          <w:rFonts w:ascii="Arial Narrow" w:hAnsi="Arial Narrow"/>
          <w:sz w:val="22"/>
          <w:szCs w:val="22"/>
          <w:lang w:eastAsia="fr-FR"/>
        </w:rPr>
      </w:pPr>
      <w:hyperlink r:id="rId15" w:tgtFrame="_blank" w:tooltip="Article L142-4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L142-4</w:t>
        </w:r>
      </w:hyperlink>
      <w:r w:rsidRPr="00174199">
        <w:rPr>
          <w:rFonts w:ascii="Arial Narrow" w:hAnsi="Arial Narrow"/>
          <w:sz w:val="22"/>
          <w:szCs w:val="22"/>
          <w:lang w:eastAsia="fr-FR"/>
        </w:rPr>
        <w:t xml:space="preserve">, </w:t>
      </w:r>
      <w:hyperlink r:id="rId16" w:tgtFrame="_blank" w:tooltip="Article R142-1 du code de la sécurité sociale (Ce lien s'ouvre dans une nouvelle fenêtre)" w:history="1">
        <w:r w:rsidRPr="00174199">
          <w:rPr>
            <w:rFonts w:ascii="Arial Narrow" w:hAnsi="Arial Narrow"/>
            <w:color w:val="0000FF"/>
            <w:sz w:val="22"/>
            <w:szCs w:val="22"/>
            <w:u w:val="single"/>
            <w:lang w:eastAsia="fr-FR"/>
          </w:rPr>
          <w:t>art. R142-1</w:t>
        </w:r>
      </w:hyperlink>
      <w:r w:rsidRPr="00174199">
        <w:rPr>
          <w:rFonts w:ascii="Arial Narrow" w:hAnsi="Arial Narrow"/>
          <w:sz w:val="22"/>
          <w:szCs w:val="22"/>
          <w:lang w:eastAsia="fr-FR"/>
        </w:rPr>
        <w:t>, </w:t>
      </w:r>
      <w:hyperlink r:id="rId17" w:tgtFrame="_blank" w:tooltip="Article R815-50 du code de la sécurité sociale (Ce lien s'ouvre dans une nouvelle fenêtre)" w:history="1">
        <w:r w:rsidRPr="00174199">
          <w:rPr>
            <w:rFonts w:ascii="Arial Narrow" w:hAnsi="Arial Narrow"/>
            <w:color w:val="0000FF"/>
            <w:sz w:val="22"/>
            <w:szCs w:val="22"/>
            <w:u w:val="single"/>
            <w:lang w:eastAsia="fr-FR"/>
          </w:rPr>
          <w:t>art. R815-50</w:t>
        </w:r>
      </w:hyperlink>
      <w:r w:rsidRPr="00174199">
        <w:rPr>
          <w:rFonts w:ascii="Arial Narrow" w:hAnsi="Arial Narrow"/>
          <w:sz w:val="22"/>
          <w:szCs w:val="22"/>
          <w:lang w:eastAsia="fr-FR"/>
        </w:rPr>
        <w:br/>
      </w:r>
      <w:hyperlink r:id="rId18" w:tgtFrame="_blank" w:tooltip="(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2019/29 du 27/11/2019 §1.4</w:t>
        </w:r>
      </w:hyperlink>
      <w:r w:rsidRPr="00174199">
        <w:rPr>
          <w:rFonts w:ascii="Arial Narrow" w:hAnsi="Arial Narrow"/>
          <w:sz w:val="22"/>
          <w:szCs w:val="22"/>
          <w:lang w:eastAsia="fr-FR"/>
        </w:rPr>
        <w:t> </w:t>
      </w:r>
    </w:p>
    <w:p w14:paraId="56604A9E" w14:textId="77777777" w:rsidR="00174199" w:rsidRPr="00174199" w:rsidRDefault="00174199" w:rsidP="00174199">
      <w:pPr>
        <w:numPr>
          <w:ilvl w:val="0"/>
          <w:numId w:val="15"/>
        </w:numPr>
        <w:spacing w:before="0" w:after="120"/>
        <w:ind w:left="0" w:firstLine="0"/>
        <w:outlineLvl w:val="1"/>
        <w:rPr>
          <w:rFonts w:ascii="Arial Narrow" w:hAnsi="Arial Narrow"/>
          <w:b/>
          <w:bCs/>
          <w:sz w:val="22"/>
          <w:szCs w:val="22"/>
          <w:lang w:eastAsia="fr-FR"/>
        </w:rPr>
      </w:pPr>
      <w:r w:rsidRPr="00174199">
        <w:rPr>
          <w:rFonts w:ascii="Arial Narrow" w:hAnsi="Arial Narrow"/>
          <w:b/>
          <w:bCs/>
          <w:sz w:val="22"/>
          <w:szCs w:val="22"/>
          <w:lang w:eastAsia="fr-FR"/>
        </w:rPr>
        <w:t>Compétence</w:t>
      </w:r>
    </w:p>
    <w:p w14:paraId="471B7A52"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La CRA statue sur les réclamations formées contre les décisions administratives relatives à l'application des législations et réglementations de sécurité sociale qui ne relèvent pas, par leur nature, d'un autre contentieux.</w:t>
      </w:r>
    </w:p>
    <w:p w14:paraId="04307D5A" w14:textId="77777777" w:rsidR="00174199" w:rsidRPr="00174199" w:rsidRDefault="00174199" w:rsidP="00174199">
      <w:pPr>
        <w:spacing w:before="0" w:after="120"/>
        <w:rPr>
          <w:rFonts w:ascii="Arial Narrow" w:hAnsi="Arial Narrow"/>
          <w:sz w:val="22"/>
          <w:szCs w:val="22"/>
          <w:lang w:eastAsia="fr-FR"/>
        </w:rPr>
      </w:pPr>
      <w:hyperlink r:id="rId19" w:tgtFrame="_blank" w:tooltip="Article R142-1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R142-1</w:t>
        </w:r>
      </w:hyperlink>
      <w:r w:rsidRPr="00174199">
        <w:rPr>
          <w:rFonts w:ascii="Arial Narrow" w:hAnsi="Arial Narrow"/>
          <w:sz w:val="22"/>
          <w:szCs w:val="22"/>
          <w:lang w:eastAsia="fr-FR"/>
        </w:rPr>
        <w:t xml:space="preserve">, </w:t>
      </w:r>
      <w:hyperlink r:id="rId20" w:tgtFrame="_blank" w:tooltip="Article R815-50 du code de la sécurité sociale (Ce lien s'ouvre dans une nouvelle fenêtre)" w:history="1">
        <w:r w:rsidRPr="00174199">
          <w:rPr>
            <w:rFonts w:ascii="Arial Narrow" w:hAnsi="Arial Narrow"/>
            <w:color w:val="0000FF"/>
            <w:sz w:val="22"/>
            <w:szCs w:val="22"/>
            <w:u w:val="single"/>
            <w:lang w:eastAsia="fr-FR"/>
          </w:rPr>
          <w:t>art. R815-50</w:t>
        </w:r>
      </w:hyperlink>
      <w:r w:rsidRPr="00174199">
        <w:rPr>
          <w:rFonts w:ascii="Arial Narrow" w:hAnsi="Arial Narrow"/>
          <w:sz w:val="22"/>
          <w:szCs w:val="22"/>
          <w:lang w:eastAsia="fr-FR"/>
        </w:rPr>
        <w:t>, </w:t>
      </w:r>
      <w:hyperlink r:id="rId21" w:tgtFrame="_blank" w:tooltip="Article L355-3 du code de la sécurité sociale (Ce lien s'ouvre dans une nouvelle fenêtre)" w:history="1">
        <w:r w:rsidRPr="00174199">
          <w:rPr>
            <w:rFonts w:ascii="Arial Narrow" w:hAnsi="Arial Narrow"/>
            <w:color w:val="0000FF"/>
            <w:sz w:val="22"/>
            <w:szCs w:val="22"/>
            <w:u w:val="single"/>
            <w:lang w:eastAsia="fr-FR"/>
          </w:rPr>
          <w:t>art. L355-3</w:t>
        </w:r>
      </w:hyperlink>
      <w:r w:rsidRPr="00174199">
        <w:rPr>
          <w:rFonts w:ascii="Arial Narrow" w:hAnsi="Arial Narrow"/>
          <w:sz w:val="22"/>
          <w:szCs w:val="22"/>
          <w:lang w:eastAsia="fr-FR"/>
        </w:rPr>
        <w:br/>
      </w:r>
      <w:hyperlink r:id="rId22" w:tgtFrame="_blank" w:tooltip="(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2019/29 du 27/11/2019 § 1.4.1</w:t>
        </w:r>
      </w:hyperlink>
    </w:p>
    <w:p w14:paraId="2D2C6006"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 xml:space="preserve">En présence d'un recours préalable qui relève à la fois de la compétence de la commission de recours amiable et de la </w:t>
      </w:r>
      <w:hyperlink r:id="rId23" w:tooltip="Exposé Commission médicale de recours amiable" w:history="1">
        <w:r w:rsidRPr="00174199">
          <w:rPr>
            <w:rFonts w:ascii="Arial Narrow" w:hAnsi="Arial Narrow"/>
            <w:color w:val="0000FF"/>
            <w:sz w:val="22"/>
            <w:szCs w:val="22"/>
            <w:u w:val="single"/>
            <w:lang w:eastAsia="fr-FR"/>
          </w:rPr>
          <w:t>commission médicale de recours amiable</w:t>
        </w:r>
      </w:hyperlink>
      <w:r w:rsidRPr="00174199">
        <w:rPr>
          <w:rFonts w:ascii="Arial Narrow" w:hAnsi="Arial Narrow"/>
          <w:sz w:val="22"/>
          <w:szCs w:val="22"/>
          <w:lang w:eastAsia="fr-FR"/>
        </w:rPr>
        <w:t xml:space="preserve"> (CMRA), la CRA sursoit à statuer jusqu'à l'avis rendu par la CMRA. La CRA statue ensuite sur l'intégralité du recours. L'absence de décision dans les 6 mois qui suivent l'introduction du recours préalable vaut rejet de la demande.</w:t>
      </w:r>
    </w:p>
    <w:p w14:paraId="1A6C94A2" w14:textId="77777777" w:rsidR="00174199" w:rsidRPr="00174199" w:rsidRDefault="00174199" w:rsidP="00174199">
      <w:pPr>
        <w:spacing w:before="0" w:after="120"/>
        <w:rPr>
          <w:rFonts w:ascii="Arial Narrow" w:hAnsi="Arial Narrow"/>
          <w:sz w:val="22"/>
          <w:szCs w:val="22"/>
          <w:lang w:eastAsia="fr-FR"/>
        </w:rPr>
      </w:pPr>
      <w:hyperlink r:id="rId24" w:tgtFrame="_blank" w:tooltip="(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R 142-9-1</w:t>
        </w:r>
      </w:hyperlink>
    </w:p>
    <w:p w14:paraId="4A2E026B"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Une procédure "précontentieuse" a été mise en place pour répondre à la 1</w:t>
      </w:r>
      <w:r w:rsidRPr="00174199">
        <w:rPr>
          <w:rFonts w:ascii="Arial Narrow" w:hAnsi="Arial Narrow"/>
          <w:sz w:val="22"/>
          <w:szCs w:val="22"/>
          <w:vertAlign w:val="superscript"/>
          <w:lang w:eastAsia="fr-FR"/>
        </w:rPr>
        <w:t xml:space="preserve">re </w:t>
      </w:r>
      <w:r w:rsidRPr="00174199">
        <w:rPr>
          <w:rFonts w:ascii="Arial Narrow" w:hAnsi="Arial Narrow"/>
          <w:sz w:val="22"/>
          <w:szCs w:val="22"/>
          <w:lang w:eastAsia="fr-FR"/>
        </w:rPr>
        <w:t>lettre de l'assuré adressée à la CRA. Le service administratif qui a notifié la décision est compétent pour traiter la demande. Les voie et délai de recours auprès du médiateur régional et de la CRA sont indiquées sur le courrier explicatif en réponse à l'assuré.</w:t>
      </w:r>
    </w:p>
    <w:p w14:paraId="621FA4E0"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Si l'assuré maintient sa réclamation après réception du courrier explicatif, le recours est transmis :</w:t>
      </w:r>
    </w:p>
    <w:p w14:paraId="730515B1" w14:textId="77777777" w:rsidR="00174199" w:rsidRPr="00174199" w:rsidRDefault="00174199" w:rsidP="00174199">
      <w:pPr>
        <w:numPr>
          <w:ilvl w:val="0"/>
          <w:numId w:val="28"/>
        </w:numPr>
        <w:spacing w:before="0" w:after="120"/>
        <w:rPr>
          <w:rFonts w:ascii="Arial Narrow" w:hAnsi="Arial Narrow"/>
          <w:sz w:val="22"/>
          <w:szCs w:val="22"/>
          <w:lang w:eastAsia="fr-FR"/>
        </w:rPr>
      </w:pPr>
      <w:r w:rsidRPr="00174199">
        <w:rPr>
          <w:rFonts w:ascii="Arial Narrow" w:hAnsi="Arial Narrow"/>
          <w:sz w:val="22"/>
          <w:szCs w:val="22"/>
          <w:lang w:eastAsia="fr-FR"/>
        </w:rPr>
        <w:t>au médiateur régional si l'assuré adresse sa réclamation au médiateur ;</w:t>
      </w:r>
    </w:p>
    <w:p w14:paraId="251E0BDB" w14:textId="77777777" w:rsidR="00174199" w:rsidRPr="00174199" w:rsidRDefault="00174199" w:rsidP="00174199">
      <w:pPr>
        <w:numPr>
          <w:ilvl w:val="0"/>
          <w:numId w:val="28"/>
        </w:numPr>
        <w:spacing w:before="0" w:after="120"/>
        <w:rPr>
          <w:rFonts w:ascii="Arial Narrow" w:hAnsi="Arial Narrow"/>
          <w:sz w:val="22"/>
          <w:szCs w:val="22"/>
          <w:lang w:eastAsia="fr-FR"/>
        </w:rPr>
      </w:pPr>
      <w:r w:rsidRPr="00174199">
        <w:rPr>
          <w:rFonts w:ascii="Arial Narrow" w:hAnsi="Arial Narrow"/>
          <w:sz w:val="22"/>
          <w:szCs w:val="22"/>
          <w:lang w:eastAsia="fr-FR"/>
        </w:rPr>
        <w:t xml:space="preserve">à la CRA si l'intéressé adresse sa réclamation à la commission. </w:t>
      </w:r>
    </w:p>
    <w:p w14:paraId="0CB9A169"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Si la saisine concerne une remise de dette, le recours est aussi transmis à la CRA sauf en cas de manœuvre frauduleuse ou de fausse déclaration.</w:t>
      </w:r>
    </w:p>
    <w:p w14:paraId="4871EC3F" w14:textId="77777777" w:rsidR="00174199" w:rsidRPr="00174199" w:rsidRDefault="00174199" w:rsidP="00174199">
      <w:pPr>
        <w:spacing w:before="0" w:after="120"/>
        <w:rPr>
          <w:rFonts w:ascii="Arial Narrow" w:hAnsi="Arial Narrow"/>
          <w:sz w:val="22"/>
          <w:szCs w:val="22"/>
          <w:lang w:eastAsia="fr-FR"/>
        </w:rPr>
      </w:pPr>
      <w:hyperlink r:id="rId25" w:tgtFrame="_blank" w:tooltip="Article L256-4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L256-4</w:t>
        </w:r>
      </w:hyperlink>
      <w:r w:rsidRPr="00174199">
        <w:rPr>
          <w:rFonts w:ascii="Arial Narrow" w:hAnsi="Arial Narrow"/>
          <w:sz w:val="22"/>
          <w:szCs w:val="22"/>
          <w:lang w:eastAsia="fr-FR"/>
        </w:rPr>
        <w:t xml:space="preserve">, </w:t>
      </w:r>
      <w:hyperlink r:id="rId26" w:tgtFrame="_blank" w:tooltip="Article L142-4 du code de la sécurité sociale (Ce lien s'ouvre dans une nouvelle fenêtre)" w:history="1">
        <w:r w:rsidRPr="00174199">
          <w:rPr>
            <w:rFonts w:ascii="Arial Narrow" w:hAnsi="Arial Narrow"/>
            <w:color w:val="0000FF"/>
            <w:sz w:val="22"/>
            <w:szCs w:val="22"/>
            <w:u w:val="single"/>
            <w:lang w:eastAsia="fr-FR"/>
          </w:rPr>
          <w:t>art. L142-4</w:t>
        </w:r>
      </w:hyperlink>
      <w:r w:rsidRPr="00174199">
        <w:rPr>
          <w:rFonts w:ascii="Arial Narrow" w:hAnsi="Arial Narrow"/>
          <w:sz w:val="22"/>
          <w:szCs w:val="22"/>
          <w:lang w:eastAsia="fr-FR"/>
        </w:rPr>
        <w:br/>
      </w:r>
      <w:hyperlink r:id="rId27" w:tgtFrame="_blank" w:tooltip="Circulaire Cnav 104/88 du 31/08/1988 (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104/88 du 31/08/1988</w:t>
        </w:r>
      </w:hyperlink>
      <w:r w:rsidRPr="00174199">
        <w:rPr>
          <w:rFonts w:ascii="Arial Narrow" w:hAnsi="Arial Narrow"/>
          <w:sz w:val="22"/>
          <w:szCs w:val="22"/>
          <w:lang w:eastAsia="fr-FR"/>
        </w:rPr>
        <w:br/>
      </w:r>
      <w:hyperlink r:id="rId28" w:tgtFrame="_blank" w:tooltip="(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2019/29 du 27/11/2019 § 1.4.1</w:t>
        </w:r>
      </w:hyperlink>
      <w:r w:rsidRPr="00174199">
        <w:rPr>
          <w:rFonts w:ascii="Arial Narrow" w:hAnsi="Arial Narrow"/>
          <w:sz w:val="22"/>
          <w:szCs w:val="22"/>
          <w:lang w:eastAsia="fr-FR"/>
        </w:rPr>
        <w:br/>
      </w:r>
      <w:hyperlink r:id="rId29" w:tgtFrame="_blank" w:tooltip="(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2020/31 du 08/10/2020 § 1.2</w:t>
        </w:r>
      </w:hyperlink>
    </w:p>
    <w:p w14:paraId="5139A742"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 xml:space="preserve">La CRA statue sur les recours en droit et les demandes de remise de dettes qui concernent le régime vieillesse de base (RVB) des travailleurs indépendants. </w:t>
      </w:r>
    </w:p>
    <w:p w14:paraId="45C640A9"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Les réclamations relatives au régime complémentaire des indépendants (RCI) sont soumises à une commission de recours amiable constituée au sein de chaque instance régionale de protection sociale des indépendants (IRPSTI).</w:t>
      </w:r>
    </w:p>
    <w:p w14:paraId="61AB79AB" w14:textId="77777777" w:rsidR="00174199" w:rsidRPr="00174199" w:rsidRDefault="00174199" w:rsidP="00174199">
      <w:pPr>
        <w:spacing w:before="0" w:after="120"/>
        <w:rPr>
          <w:rFonts w:ascii="Arial Narrow" w:hAnsi="Arial Narrow"/>
          <w:sz w:val="22"/>
          <w:szCs w:val="22"/>
          <w:lang w:eastAsia="fr-FR"/>
        </w:rPr>
      </w:pPr>
      <w:hyperlink r:id="rId30" w:tgtFrame="_blank" w:tooltip="Article 15 de la loi 2017/186 du 30/12/2007 (Ce lien s'ouvre dans une nouvelle fenêtre)" w:history="1">
        <w:r w:rsidRPr="00174199">
          <w:rPr>
            <w:rFonts w:ascii="Arial Narrow" w:hAnsi="Arial Narrow"/>
            <w:color w:val="0000FF"/>
            <w:sz w:val="22"/>
            <w:szCs w:val="22"/>
            <w:u w:val="single"/>
            <w:lang w:eastAsia="fr-FR"/>
          </w:rPr>
          <w:t>Loi 2017/1836 du 30/12/2007 art. 15</w:t>
        </w:r>
      </w:hyperlink>
      <w:r w:rsidRPr="00174199">
        <w:rPr>
          <w:rFonts w:ascii="Arial Narrow" w:hAnsi="Arial Narrow"/>
          <w:sz w:val="22"/>
          <w:szCs w:val="22"/>
          <w:lang w:eastAsia="fr-FR"/>
        </w:rPr>
        <w:br/>
      </w:r>
      <w:hyperlink r:id="rId31" w:tgtFrame="_blank" w:tooltip="Article R612-8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R612-8</w:t>
        </w:r>
      </w:hyperlink>
    </w:p>
    <w:p w14:paraId="427F46D5" w14:textId="77777777" w:rsidR="00174199" w:rsidRPr="00174199" w:rsidRDefault="00174199" w:rsidP="00174199">
      <w:pPr>
        <w:spacing w:before="0" w:after="120"/>
        <w:rPr>
          <w:rFonts w:ascii="Arial Narrow" w:hAnsi="Arial Narrow"/>
          <w:sz w:val="22"/>
          <w:szCs w:val="22"/>
          <w:lang w:eastAsia="fr-FR"/>
        </w:rPr>
      </w:pPr>
      <w:proofErr w:type="gramStart"/>
      <w:r w:rsidRPr="00174199">
        <w:rPr>
          <w:rFonts w:ascii="Arial Narrow" w:hAnsi="Arial Narrow"/>
          <w:sz w:val="22"/>
          <w:szCs w:val="22"/>
          <w:lang w:eastAsia="fr-FR"/>
        </w:rPr>
        <w:t>La CRA</w:t>
      </w:r>
      <w:proofErr w:type="gramEnd"/>
      <w:r w:rsidRPr="00174199">
        <w:rPr>
          <w:rFonts w:ascii="Arial Narrow" w:hAnsi="Arial Narrow"/>
          <w:sz w:val="22"/>
          <w:szCs w:val="22"/>
          <w:lang w:eastAsia="fr-FR"/>
        </w:rPr>
        <w:t xml:space="preserve"> est compétente si le rejet d'une demande de retraite pour incapacité permanente est fondée sur l'absence de reconnaissance de la similitude des lésions par le médecin-conseil.</w:t>
      </w:r>
    </w:p>
    <w:p w14:paraId="27CD3F6F" w14:textId="77777777" w:rsidR="00174199" w:rsidRPr="00174199" w:rsidRDefault="00174199" w:rsidP="00174199">
      <w:pPr>
        <w:spacing w:before="0" w:after="120"/>
        <w:rPr>
          <w:rFonts w:ascii="Arial Narrow" w:hAnsi="Arial Narrow"/>
          <w:sz w:val="22"/>
          <w:szCs w:val="22"/>
          <w:lang w:eastAsia="fr-FR"/>
        </w:rPr>
      </w:pPr>
      <w:hyperlink r:id="rId32" w:tgtFrame="_blank" w:tooltip="(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2019/29 du 27/11/2019 § 2.1</w:t>
        </w:r>
      </w:hyperlink>
    </w:p>
    <w:p w14:paraId="1A5F8806" w14:textId="77777777" w:rsidR="00174199" w:rsidRPr="00174199" w:rsidRDefault="00174199" w:rsidP="00174199">
      <w:pPr>
        <w:spacing w:before="0" w:after="120"/>
        <w:rPr>
          <w:rFonts w:ascii="Arial Narrow" w:hAnsi="Arial Narrow"/>
          <w:sz w:val="22"/>
          <w:szCs w:val="22"/>
          <w:lang w:eastAsia="fr-FR"/>
        </w:rPr>
      </w:pPr>
      <w:proofErr w:type="gramStart"/>
      <w:r w:rsidRPr="00174199">
        <w:rPr>
          <w:rFonts w:ascii="Arial Narrow" w:hAnsi="Arial Narrow"/>
          <w:sz w:val="22"/>
          <w:szCs w:val="22"/>
          <w:lang w:eastAsia="fr-FR"/>
        </w:rPr>
        <w:lastRenderedPageBreak/>
        <w:t>La CRA</w:t>
      </w:r>
      <w:proofErr w:type="gramEnd"/>
      <w:r w:rsidRPr="00174199">
        <w:rPr>
          <w:rFonts w:ascii="Arial Narrow" w:hAnsi="Arial Narrow"/>
          <w:sz w:val="22"/>
          <w:szCs w:val="22"/>
          <w:lang w:eastAsia="fr-FR"/>
        </w:rPr>
        <w:t xml:space="preserve"> accorde éventuellement une remise totale ou partielle de la dette et détermine l'échelonnement des remboursements si la révision d'un droit entraîne un trop perçu suite à une erreur de la caisse.</w:t>
      </w:r>
    </w:p>
    <w:p w14:paraId="5DF20CBE" w14:textId="77777777" w:rsidR="00174199" w:rsidRPr="00174199" w:rsidRDefault="00174199" w:rsidP="00174199">
      <w:pPr>
        <w:spacing w:before="0" w:after="120"/>
        <w:rPr>
          <w:rFonts w:ascii="Arial Narrow" w:hAnsi="Arial Narrow"/>
          <w:sz w:val="22"/>
          <w:szCs w:val="22"/>
          <w:lang w:eastAsia="fr-FR"/>
        </w:rPr>
      </w:pPr>
      <w:hyperlink r:id="rId33" w:tgtFrame="_blank" w:tooltip="Article L355-3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L355-3</w:t>
        </w:r>
      </w:hyperlink>
      <w:r w:rsidRPr="00174199">
        <w:rPr>
          <w:rFonts w:ascii="Arial Narrow" w:hAnsi="Arial Narrow"/>
          <w:sz w:val="22"/>
          <w:szCs w:val="22"/>
          <w:lang w:eastAsia="fr-FR"/>
        </w:rPr>
        <w:t>, </w:t>
      </w:r>
      <w:hyperlink r:id="rId34" w:tgtFrame="_blank" w:tooltip="Article L256-4 du code de la sécurité sociale  (Ce lien s'ouvre dans une nouvelle fenêtre)" w:history="1">
        <w:r w:rsidRPr="00174199">
          <w:rPr>
            <w:rFonts w:ascii="Arial Narrow" w:hAnsi="Arial Narrow"/>
            <w:color w:val="0000FF"/>
            <w:sz w:val="22"/>
            <w:szCs w:val="22"/>
            <w:u w:val="single"/>
            <w:lang w:eastAsia="fr-FR"/>
          </w:rPr>
          <w:t>art.. L256-4</w:t>
        </w:r>
      </w:hyperlink>
      <w:r w:rsidRPr="00174199">
        <w:rPr>
          <w:rFonts w:ascii="Arial Narrow" w:hAnsi="Arial Narrow"/>
          <w:sz w:val="22"/>
          <w:szCs w:val="22"/>
          <w:lang w:eastAsia="fr-FR"/>
        </w:rPr>
        <w:t>,</w:t>
      </w:r>
      <w:r w:rsidRPr="00174199">
        <w:rPr>
          <w:rFonts w:ascii="Arial Narrow" w:hAnsi="Arial Narrow"/>
          <w:sz w:val="22"/>
          <w:szCs w:val="22"/>
          <w:lang w:eastAsia="fr-FR"/>
        </w:rPr>
        <w:br/>
      </w:r>
      <w:hyperlink r:id="rId35" w:tgtFrame="_blank" w:tooltip="(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2019/29 du 27/11/2019 § 1.4.1</w:t>
        </w:r>
      </w:hyperlink>
    </w:p>
    <w:p w14:paraId="091E199A"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 xml:space="preserve">Dans le cadre de la </w:t>
      </w:r>
      <w:hyperlink r:id="rId36" w:tooltip="Lien vers l'exposé Liquidation unique de la retraite des régimes alignés" w:history="1">
        <w:r w:rsidRPr="00174199">
          <w:rPr>
            <w:rFonts w:ascii="Arial Narrow" w:hAnsi="Arial Narrow"/>
            <w:color w:val="0000FF"/>
            <w:sz w:val="22"/>
            <w:szCs w:val="22"/>
            <w:u w:val="single"/>
            <w:lang w:eastAsia="fr-FR"/>
          </w:rPr>
          <w:t>liquidation unique de retraite</w:t>
        </w:r>
      </w:hyperlink>
      <w:r w:rsidRPr="00174199">
        <w:rPr>
          <w:rFonts w:ascii="Arial Narrow" w:hAnsi="Arial Narrow"/>
          <w:sz w:val="22"/>
          <w:szCs w:val="22"/>
          <w:lang w:eastAsia="fr-FR"/>
        </w:rPr>
        <w:t>, la commission de recours amiable du régime qui a notifié la décision traite la contestation. Si la contestation porte sur les éléments de calcul, le point de départ ou sur la carrière d'un autre des régimes visés, le régime chargé de traiter la contestation sollicite le régime concerné pour obtenir les informations nécessaires. Si le litige est porté devant une juridiction, celle-ci peut appeler à la cause le ou les autres régimes concernés.</w:t>
      </w:r>
    </w:p>
    <w:p w14:paraId="62C8E1E4" w14:textId="77777777" w:rsidR="00174199" w:rsidRPr="00174199" w:rsidRDefault="00174199" w:rsidP="00174199">
      <w:pPr>
        <w:spacing w:before="0" w:after="120"/>
        <w:rPr>
          <w:rFonts w:ascii="Arial Narrow" w:hAnsi="Arial Narrow"/>
          <w:sz w:val="22"/>
          <w:szCs w:val="22"/>
          <w:lang w:eastAsia="fr-FR"/>
        </w:rPr>
      </w:pPr>
      <w:hyperlink r:id="rId37" w:tgtFrame="_blank" w:tooltip="Circulaire Cnav 2017/27 du 21/07/2017 (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2017/27 du 21/07/2017 § 5</w:t>
        </w:r>
      </w:hyperlink>
      <w:r w:rsidRPr="00174199">
        <w:rPr>
          <w:rFonts w:ascii="Arial Narrow" w:hAnsi="Arial Narrow"/>
          <w:sz w:val="22"/>
          <w:szCs w:val="22"/>
          <w:lang w:eastAsia="fr-FR"/>
        </w:rPr>
        <w:br/>
      </w:r>
      <w:hyperlink r:id="rId38" w:tgtFrame="_blank" w:tooltip="(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2019/29 du 27/11/2019 § 1.4.1</w:t>
        </w:r>
      </w:hyperlink>
    </w:p>
    <w:p w14:paraId="4F8EC377" w14:textId="77777777" w:rsidR="00174199" w:rsidRPr="00174199" w:rsidRDefault="00174199" w:rsidP="00174199">
      <w:pPr>
        <w:numPr>
          <w:ilvl w:val="0"/>
          <w:numId w:val="15"/>
        </w:numPr>
        <w:spacing w:before="0" w:after="120"/>
        <w:ind w:left="0" w:firstLine="0"/>
        <w:outlineLvl w:val="1"/>
        <w:rPr>
          <w:rFonts w:ascii="Arial Narrow" w:hAnsi="Arial Narrow"/>
          <w:b/>
          <w:bCs/>
          <w:sz w:val="22"/>
          <w:szCs w:val="22"/>
          <w:lang w:eastAsia="fr-FR"/>
        </w:rPr>
      </w:pPr>
      <w:r w:rsidRPr="00174199">
        <w:rPr>
          <w:rFonts w:ascii="Arial Narrow" w:hAnsi="Arial Narrow"/>
          <w:b/>
          <w:bCs/>
          <w:sz w:val="22"/>
          <w:szCs w:val="22"/>
          <w:lang w:eastAsia="fr-FR"/>
        </w:rPr>
        <w:t xml:space="preserve">Procédure </w:t>
      </w:r>
    </w:p>
    <w:p w14:paraId="32ED8BB1"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noProof/>
          <w:sz w:val="22"/>
          <w:szCs w:val="22"/>
          <w:lang w:eastAsia="fr-FR"/>
        </w:rPr>
        <w:drawing>
          <wp:inline distT="0" distB="0" distL="0" distR="0" wp14:anchorId="79C62DB2" wp14:editId="42D4118E">
            <wp:extent cx="142875" cy="1428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74199">
        <w:rPr>
          <w:rFonts w:ascii="Arial Narrow" w:hAnsi="Arial Narrow"/>
          <w:sz w:val="22"/>
          <w:szCs w:val="22"/>
          <w:lang w:eastAsia="fr-FR"/>
        </w:rPr>
        <w:t>L'</w:t>
      </w:r>
      <w:hyperlink r:id="rId40" w:tgtFrame="_blank" w:tooltip="(Ce lien s'ouvre dans une nouvelle fenêtre)" w:history="1">
        <w:r w:rsidRPr="00174199">
          <w:rPr>
            <w:rFonts w:ascii="Arial Narrow" w:hAnsi="Arial Narrow"/>
            <w:color w:val="0000FF"/>
            <w:sz w:val="22"/>
            <w:szCs w:val="22"/>
            <w:u w:val="single"/>
            <w:lang w:eastAsia="fr-FR"/>
          </w:rPr>
          <w:t>ordonnance n°2019-765 du 24/07/2019</w:t>
        </w:r>
      </w:hyperlink>
      <w:r w:rsidRPr="00174199">
        <w:rPr>
          <w:rFonts w:ascii="Arial Narrow" w:hAnsi="Arial Narrow"/>
          <w:sz w:val="22"/>
          <w:szCs w:val="22"/>
          <w:lang w:eastAsia="fr-FR"/>
        </w:rPr>
        <w:t xml:space="preserve"> instaure un droit de rectification des informations par l'assuré en cas de notification d'indu si ces dernières ont une incidence sur le montant de l'indu. Le </w:t>
      </w:r>
      <w:hyperlink r:id="rId41" w:tgtFrame="_blank" w:tooltip="(Ce lien s'ouvre dans une nouvelle fenêtre)" w:history="1">
        <w:r w:rsidRPr="00174199">
          <w:rPr>
            <w:rFonts w:ascii="Arial Narrow" w:hAnsi="Arial Narrow"/>
            <w:color w:val="0000FF"/>
            <w:sz w:val="22"/>
            <w:szCs w:val="22"/>
            <w:u w:val="single"/>
            <w:lang w:eastAsia="fr-FR"/>
          </w:rPr>
          <w:t>décret n° 2021-306 du 23/03/2021</w:t>
        </w:r>
      </w:hyperlink>
      <w:r w:rsidRPr="00174199">
        <w:rPr>
          <w:rFonts w:ascii="Arial Narrow" w:hAnsi="Arial Narrow"/>
          <w:sz w:val="22"/>
          <w:szCs w:val="22"/>
          <w:lang w:eastAsia="fr-FR"/>
        </w:rPr>
        <w:t xml:space="preserve"> décline les modalités de mise en œuvre de ce droit et son articulation avec la saisine de la CRA. Le site sera actualisé dès parution des instructions.</w:t>
      </w:r>
    </w:p>
    <w:p w14:paraId="5E5D20CE" w14:textId="77777777" w:rsidR="00174199" w:rsidRPr="00174199" w:rsidRDefault="00174199" w:rsidP="00174199">
      <w:pPr>
        <w:spacing w:before="0" w:after="120"/>
        <w:rPr>
          <w:rFonts w:ascii="Arial Narrow" w:hAnsi="Arial Narrow"/>
          <w:sz w:val="22"/>
          <w:szCs w:val="22"/>
          <w:lang w:eastAsia="fr-FR"/>
        </w:rPr>
      </w:pPr>
      <w:proofErr w:type="gramStart"/>
      <w:r w:rsidRPr="00174199">
        <w:rPr>
          <w:rFonts w:ascii="Arial Narrow" w:hAnsi="Arial Narrow"/>
          <w:sz w:val="22"/>
          <w:szCs w:val="22"/>
          <w:lang w:eastAsia="fr-FR"/>
        </w:rPr>
        <w:t>La CRA</w:t>
      </w:r>
      <w:proofErr w:type="gramEnd"/>
      <w:r w:rsidRPr="00174199">
        <w:rPr>
          <w:rFonts w:ascii="Arial Narrow" w:hAnsi="Arial Narrow"/>
          <w:sz w:val="22"/>
          <w:szCs w:val="22"/>
          <w:lang w:eastAsia="fr-FR"/>
        </w:rPr>
        <w:t xml:space="preserve"> doit être saisie par lettre, dans le </w:t>
      </w:r>
      <w:hyperlink r:id="rId42" w:tgtFrame="_blank" w:tooltip="Délais de distance (Ce lien s'ouvre dans une nouvelle fenêtre)" w:history="1">
        <w:r w:rsidRPr="00174199">
          <w:rPr>
            <w:rFonts w:ascii="Arial Narrow" w:hAnsi="Arial Narrow"/>
            <w:color w:val="0000FF"/>
            <w:sz w:val="22"/>
            <w:szCs w:val="22"/>
            <w:u w:val="single"/>
            <w:lang w:eastAsia="fr-FR"/>
          </w:rPr>
          <w:t>délai</w:t>
        </w:r>
      </w:hyperlink>
      <w:r w:rsidRPr="00174199">
        <w:rPr>
          <w:rFonts w:ascii="Arial Narrow" w:hAnsi="Arial Narrow"/>
          <w:sz w:val="22"/>
          <w:szCs w:val="22"/>
          <w:lang w:eastAsia="fr-FR"/>
        </w:rPr>
        <w:t xml:space="preserve"> de 2 mois qui suit : </w:t>
      </w:r>
    </w:p>
    <w:p w14:paraId="35C06929" w14:textId="77777777" w:rsidR="00174199" w:rsidRPr="00174199" w:rsidRDefault="00174199" w:rsidP="00174199">
      <w:pPr>
        <w:numPr>
          <w:ilvl w:val="0"/>
          <w:numId w:val="29"/>
        </w:numPr>
        <w:spacing w:before="0" w:after="120"/>
        <w:rPr>
          <w:rFonts w:ascii="Arial Narrow" w:hAnsi="Arial Narrow"/>
          <w:sz w:val="22"/>
          <w:szCs w:val="22"/>
          <w:lang w:eastAsia="fr-FR"/>
        </w:rPr>
      </w:pPr>
      <w:r w:rsidRPr="00174199">
        <w:rPr>
          <w:rFonts w:ascii="Arial Narrow" w:hAnsi="Arial Narrow"/>
          <w:sz w:val="22"/>
          <w:szCs w:val="22"/>
          <w:lang w:eastAsia="fr-FR"/>
        </w:rPr>
        <w:t>la notification de la décision de la caisse ;</w:t>
      </w:r>
    </w:p>
    <w:p w14:paraId="318F1A12" w14:textId="77777777" w:rsidR="00174199" w:rsidRPr="00174199" w:rsidRDefault="00174199" w:rsidP="00174199">
      <w:pPr>
        <w:numPr>
          <w:ilvl w:val="0"/>
          <w:numId w:val="29"/>
        </w:numPr>
        <w:spacing w:before="0" w:after="120"/>
        <w:rPr>
          <w:rFonts w:ascii="Arial Narrow" w:hAnsi="Arial Narrow"/>
          <w:sz w:val="22"/>
          <w:szCs w:val="22"/>
          <w:lang w:eastAsia="fr-FR"/>
        </w:rPr>
      </w:pPr>
      <w:r w:rsidRPr="00174199">
        <w:rPr>
          <w:rFonts w:ascii="Arial Narrow" w:hAnsi="Arial Narrow"/>
          <w:sz w:val="22"/>
          <w:szCs w:val="22"/>
          <w:lang w:eastAsia="fr-FR"/>
        </w:rPr>
        <w:t>la notification ou la mise en demeure pour des sommes à récupérer ;</w:t>
      </w:r>
    </w:p>
    <w:p w14:paraId="59E7E5A7" w14:textId="77777777" w:rsidR="00174199" w:rsidRPr="00174199" w:rsidRDefault="00174199" w:rsidP="00174199">
      <w:pPr>
        <w:numPr>
          <w:ilvl w:val="0"/>
          <w:numId w:val="29"/>
        </w:numPr>
        <w:spacing w:before="0" w:after="120"/>
        <w:rPr>
          <w:rFonts w:ascii="Arial Narrow" w:hAnsi="Arial Narrow"/>
          <w:sz w:val="22"/>
          <w:szCs w:val="22"/>
          <w:lang w:eastAsia="fr-FR"/>
        </w:rPr>
      </w:pPr>
      <w:r w:rsidRPr="00174199">
        <w:rPr>
          <w:rFonts w:ascii="Arial Narrow" w:hAnsi="Arial Narrow"/>
          <w:sz w:val="22"/>
          <w:szCs w:val="22"/>
          <w:lang w:eastAsia="fr-FR"/>
        </w:rPr>
        <w:t>l'expiration du délai implicite de rejet, si la caisse n'a pas notifié sa décision.</w:t>
      </w:r>
    </w:p>
    <w:p w14:paraId="30620B97" w14:textId="77777777" w:rsidR="00174199" w:rsidRPr="00174199" w:rsidRDefault="00174199" w:rsidP="00174199">
      <w:pPr>
        <w:spacing w:before="0" w:after="120"/>
        <w:rPr>
          <w:rFonts w:ascii="Arial Narrow" w:hAnsi="Arial Narrow"/>
          <w:sz w:val="22"/>
          <w:szCs w:val="22"/>
          <w:lang w:eastAsia="fr-FR"/>
        </w:rPr>
      </w:pPr>
      <w:hyperlink r:id="rId43" w:tgtFrame="_blank" w:tooltip="Article R142-1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R142-1,</w:t>
        </w:r>
      </w:hyperlink>
      <w:r w:rsidRPr="00174199">
        <w:rPr>
          <w:rFonts w:ascii="Arial Narrow" w:hAnsi="Arial Narrow"/>
          <w:sz w:val="22"/>
          <w:szCs w:val="22"/>
          <w:lang w:eastAsia="fr-FR"/>
        </w:rPr>
        <w:t> </w:t>
      </w:r>
      <w:hyperlink r:id="rId44" w:tgtFrame="_blank" w:tooltip="Article R 142-6 du code de la sécurité sociale (Ce lien s'ouvre dans une nouvelle fenêtre)" w:history="1">
        <w:r w:rsidRPr="00174199">
          <w:rPr>
            <w:rFonts w:ascii="Arial Narrow" w:hAnsi="Arial Narrow"/>
            <w:color w:val="0000FF"/>
            <w:sz w:val="22"/>
            <w:szCs w:val="22"/>
            <w:u w:val="single"/>
            <w:lang w:eastAsia="fr-FR"/>
          </w:rPr>
          <w:t>art. R142-6</w:t>
        </w:r>
      </w:hyperlink>
      <w:r w:rsidRPr="00174199">
        <w:rPr>
          <w:rFonts w:ascii="Arial Narrow" w:hAnsi="Arial Narrow"/>
          <w:sz w:val="22"/>
          <w:szCs w:val="22"/>
          <w:lang w:eastAsia="fr-FR"/>
        </w:rPr>
        <w:t> </w:t>
      </w:r>
      <w:r w:rsidRPr="00174199">
        <w:rPr>
          <w:rFonts w:ascii="Arial Narrow" w:hAnsi="Arial Narrow"/>
          <w:sz w:val="22"/>
          <w:szCs w:val="22"/>
          <w:lang w:eastAsia="fr-FR"/>
        </w:rPr>
        <w:br/>
      </w:r>
      <w:hyperlink r:id="rId45" w:anchor="421" w:tgtFrame="_blank" w:tooltip="Circulaire Cnav 2002/26 du 16/04/2002 (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2002/26 du 16/04/2002 § 421</w:t>
        </w:r>
      </w:hyperlink>
      <w:r w:rsidRPr="00174199">
        <w:rPr>
          <w:rFonts w:ascii="Arial Narrow" w:hAnsi="Arial Narrow"/>
          <w:sz w:val="22"/>
          <w:szCs w:val="22"/>
          <w:lang w:eastAsia="fr-FR"/>
        </w:rPr>
        <w:t xml:space="preserve">,  </w:t>
      </w:r>
      <w:hyperlink r:id="rId46" w:anchor="43" w:tgtFrame="_blank" w:tooltip="Circulaire Cnav 2002/26 du 16/04/2002 (Ce lien s'ouvre dans une nouvelle fenêtre)" w:history="1">
        <w:r w:rsidRPr="00174199">
          <w:rPr>
            <w:rFonts w:ascii="Arial Narrow" w:hAnsi="Arial Narrow"/>
            <w:color w:val="0000FF"/>
            <w:sz w:val="22"/>
            <w:szCs w:val="22"/>
            <w:u w:val="single"/>
            <w:lang w:eastAsia="fr-FR"/>
          </w:rPr>
          <w:t>§ 43</w:t>
        </w:r>
      </w:hyperlink>
      <w:r w:rsidRPr="00174199">
        <w:rPr>
          <w:rFonts w:ascii="Arial Narrow" w:hAnsi="Arial Narrow"/>
          <w:sz w:val="22"/>
          <w:szCs w:val="22"/>
          <w:lang w:eastAsia="fr-FR"/>
        </w:rPr>
        <w:t xml:space="preserve"> </w:t>
      </w:r>
      <w:r w:rsidRPr="00174199">
        <w:rPr>
          <w:rFonts w:ascii="Arial Narrow" w:hAnsi="Arial Narrow"/>
          <w:sz w:val="22"/>
          <w:szCs w:val="22"/>
          <w:lang w:eastAsia="fr-FR"/>
        </w:rPr>
        <w:br/>
      </w:r>
      <w:hyperlink r:id="rId47" w:tgtFrame="_blank" w:tooltip="Décret 72/788 du 28/08/1972 (Ce lien s'ouvre dans une nouvelle fenêtre)" w:history="1">
        <w:r w:rsidRPr="00174199">
          <w:rPr>
            <w:rFonts w:ascii="Arial Narrow" w:hAnsi="Arial Narrow"/>
            <w:color w:val="0000FF"/>
            <w:sz w:val="22"/>
            <w:szCs w:val="22"/>
            <w:u w:val="single"/>
            <w:lang w:eastAsia="fr-FR"/>
          </w:rPr>
          <w:t>Décret 72/788 du 28/08/1972 art. 8</w:t>
        </w:r>
      </w:hyperlink>
      <w:r w:rsidRPr="00174199">
        <w:rPr>
          <w:rFonts w:ascii="Arial Narrow" w:hAnsi="Arial Narrow"/>
          <w:sz w:val="22"/>
          <w:szCs w:val="22"/>
          <w:lang w:eastAsia="fr-FR"/>
        </w:rPr>
        <w:br/>
      </w:r>
      <w:hyperlink r:id="rId48" w:anchor="77" w:tgtFrame="_blank" w:tooltip="Circulaire 2012/63 du 13/09/2012 (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2012/63 du 13/09/2012 § 77</w:t>
        </w:r>
      </w:hyperlink>
      <w:r w:rsidRPr="00174199">
        <w:rPr>
          <w:rFonts w:ascii="Arial Narrow" w:hAnsi="Arial Narrow"/>
          <w:sz w:val="22"/>
          <w:szCs w:val="22"/>
          <w:lang w:eastAsia="fr-FR"/>
        </w:rPr>
        <w:br/>
      </w:r>
      <w:hyperlink r:id="rId49" w:tgtFrame="_blank" w:tooltip="(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2021/2 du 12/01/2021</w:t>
        </w:r>
      </w:hyperlink>
      <w:r w:rsidRPr="00174199">
        <w:rPr>
          <w:rFonts w:ascii="Arial Narrow" w:hAnsi="Arial Narrow"/>
          <w:sz w:val="22"/>
          <w:szCs w:val="22"/>
          <w:lang w:eastAsia="fr-FR"/>
        </w:rPr>
        <w:br/>
      </w:r>
      <w:hyperlink r:id="rId50" w:tgtFrame="_blank" w:tooltip="(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2019/29 du 27/11/2019 § 1.4.1</w:t>
        </w:r>
      </w:hyperlink>
    </w:p>
    <w:p w14:paraId="4C049895"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Le délai de recours préalable est opposable seulement si les voies et délais de recours figurent sur la notification de la décision contestée, ou sur l'accusé de réception de la demande si le requérant n'a pas reçu de décision de l'organisme.</w:t>
      </w:r>
    </w:p>
    <w:p w14:paraId="675E631E" w14:textId="77777777" w:rsidR="00174199" w:rsidRPr="00174199" w:rsidRDefault="00174199" w:rsidP="00174199">
      <w:pPr>
        <w:spacing w:before="0" w:after="120"/>
        <w:rPr>
          <w:rFonts w:ascii="Arial Narrow" w:hAnsi="Arial Narrow"/>
          <w:sz w:val="22"/>
          <w:szCs w:val="22"/>
          <w:lang w:eastAsia="fr-FR"/>
        </w:rPr>
      </w:pPr>
      <w:hyperlink r:id="rId51" w:tgtFrame="_blank" w:tooltip="Article R142-1-A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R142-1-A</w:t>
        </w:r>
      </w:hyperlink>
      <w:r w:rsidRPr="00174199">
        <w:rPr>
          <w:rFonts w:ascii="Arial Narrow" w:hAnsi="Arial Narrow"/>
          <w:sz w:val="22"/>
          <w:szCs w:val="22"/>
          <w:lang w:eastAsia="fr-FR"/>
        </w:rPr>
        <w:t> </w:t>
      </w:r>
      <w:r w:rsidRPr="00174199">
        <w:rPr>
          <w:rFonts w:ascii="Arial Narrow" w:hAnsi="Arial Narrow"/>
          <w:sz w:val="22"/>
          <w:szCs w:val="22"/>
          <w:lang w:eastAsia="fr-FR"/>
        </w:rPr>
        <w:br/>
      </w:r>
      <w:hyperlink r:id="rId52" w:tgtFrame="_blank" w:tooltip="(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2019/29 du 27/11/2019 § 1.4.1</w:t>
        </w:r>
      </w:hyperlink>
    </w:p>
    <w:p w14:paraId="3DCEFCBF"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 xml:space="preserve">Le recours devant </w:t>
      </w:r>
      <w:proofErr w:type="gramStart"/>
      <w:r w:rsidRPr="00174199">
        <w:rPr>
          <w:rFonts w:ascii="Arial Narrow" w:hAnsi="Arial Narrow"/>
          <w:sz w:val="22"/>
          <w:szCs w:val="22"/>
          <w:lang w:eastAsia="fr-FR"/>
        </w:rPr>
        <w:t>la CRA</w:t>
      </w:r>
      <w:proofErr w:type="gramEnd"/>
      <w:r w:rsidRPr="00174199">
        <w:rPr>
          <w:rFonts w:ascii="Arial Narrow" w:hAnsi="Arial Narrow"/>
          <w:sz w:val="22"/>
          <w:szCs w:val="22"/>
          <w:lang w:eastAsia="fr-FR"/>
        </w:rPr>
        <w:t xml:space="preserve"> n'a pas d'effet suspensif. Dans l'attente de la décision de la commission, le paiement de la prestation contestée est poursuivi, et le recouvrement d'un indu est suspendu.</w:t>
      </w:r>
    </w:p>
    <w:p w14:paraId="48C311BD" w14:textId="77777777" w:rsidR="00174199" w:rsidRPr="00174199" w:rsidRDefault="00174199" w:rsidP="00174199">
      <w:pPr>
        <w:spacing w:before="0" w:after="120"/>
        <w:rPr>
          <w:rFonts w:ascii="Arial Narrow" w:hAnsi="Arial Narrow"/>
          <w:sz w:val="22"/>
          <w:szCs w:val="22"/>
          <w:lang w:eastAsia="fr-FR"/>
        </w:rPr>
      </w:pPr>
      <w:hyperlink r:id="rId53" w:tgtFrame="_blank" w:tooltip="Circulaire ministérielle 2010/214 du 20/10/2014 (Ce lien s'ouvre dans une nouvelle fenêtre)" w:history="1">
        <w:r w:rsidRPr="00174199">
          <w:rPr>
            <w:rFonts w:ascii="Arial Narrow" w:hAnsi="Arial Narrow"/>
            <w:color w:val="0000FF"/>
            <w:sz w:val="22"/>
            <w:szCs w:val="22"/>
            <w:u w:val="single"/>
            <w:lang w:eastAsia="fr-FR"/>
          </w:rPr>
          <w:t>Circulaire ministérielle 2010/214 du 20/10/2014</w:t>
        </w:r>
      </w:hyperlink>
    </w:p>
    <w:p w14:paraId="7E8C5E24" w14:textId="77777777" w:rsidR="00174199" w:rsidRPr="00174199" w:rsidRDefault="00174199" w:rsidP="00174199">
      <w:pPr>
        <w:numPr>
          <w:ilvl w:val="0"/>
          <w:numId w:val="15"/>
        </w:numPr>
        <w:spacing w:before="0" w:after="120"/>
        <w:ind w:left="0" w:firstLine="0"/>
        <w:outlineLvl w:val="1"/>
        <w:rPr>
          <w:rFonts w:ascii="Arial Narrow" w:hAnsi="Arial Narrow"/>
          <w:b/>
          <w:bCs/>
          <w:sz w:val="22"/>
          <w:szCs w:val="22"/>
          <w:lang w:eastAsia="fr-FR"/>
        </w:rPr>
      </w:pPr>
      <w:r w:rsidRPr="00174199">
        <w:rPr>
          <w:rFonts w:ascii="Arial Narrow" w:hAnsi="Arial Narrow"/>
          <w:b/>
          <w:bCs/>
          <w:sz w:val="22"/>
          <w:szCs w:val="22"/>
          <w:lang w:eastAsia="fr-FR"/>
        </w:rPr>
        <w:t>Décision et voies de recours</w:t>
      </w:r>
    </w:p>
    <w:p w14:paraId="6A048D27" w14:textId="77777777" w:rsidR="00174199" w:rsidRPr="00174199" w:rsidRDefault="00174199" w:rsidP="00174199">
      <w:pPr>
        <w:spacing w:before="0" w:after="120"/>
        <w:rPr>
          <w:rFonts w:ascii="Arial Narrow" w:hAnsi="Arial Narrow"/>
          <w:sz w:val="22"/>
          <w:szCs w:val="22"/>
          <w:lang w:eastAsia="fr-FR"/>
        </w:rPr>
      </w:pPr>
      <w:proofErr w:type="gramStart"/>
      <w:r w:rsidRPr="00174199">
        <w:rPr>
          <w:rFonts w:ascii="Arial Narrow" w:hAnsi="Arial Narrow"/>
          <w:sz w:val="22"/>
          <w:szCs w:val="22"/>
          <w:lang w:eastAsia="fr-FR"/>
        </w:rPr>
        <w:t>La CRA</w:t>
      </w:r>
      <w:proofErr w:type="gramEnd"/>
      <w:r w:rsidRPr="00174199">
        <w:rPr>
          <w:rFonts w:ascii="Arial Narrow" w:hAnsi="Arial Narrow"/>
          <w:sz w:val="22"/>
          <w:szCs w:val="22"/>
          <w:lang w:eastAsia="fr-FR"/>
        </w:rPr>
        <w:t xml:space="preserve"> donne un avis au conseil d'administration qui statue et notifie sa décision à l'intéressé. Si la CRA a reçu délégation du conseil d'administration, elle statue et notifie sa décision à l'intéressé. Cette décision doit être motivée et indiquer les délais et modalités de recours devant le tribunal. </w:t>
      </w:r>
    </w:p>
    <w:p w14:paraId="4BA7F798" w14:textId="77777777" w:rsidR="00174199" w:rsidRPr="00174199" w:rsidRDefault="00174199" w:rsidP="00174199">
      <w:pPr>
        <w:spacing w:before="0" w:after="120"/>
        <w:rPr>
          <w:rFonts w:ascii="Arial Narrow" w:hAnsi="Arial Narrow"/>
          <w:sz w:val="22"/>
          <w:szCs w:val="22"/>
          <w:lang w:eastAsia="fr-FR"/>
        </w:rPr>
      </w:pPr>
      <w:hyperlink r:id="rId54" w:tgtFrame="_blank" w:tooltip="Article R142-4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R142-4</w:t>
        </w:r>
      </w:hyperlink>
      <w:r w:rsidRPr="00174199">
        <w:rPr>
          <w:rFonts w:ascii="Arial Narrow" w:hAnsi="Arial Narrow"/>
          <w:sz w:val="22"/>
          <w:szCs w:val="22"/>
          <w:lang w:eastAsia="fr-FR"/>
        </w:rPr>
        <w:t xml:space="preserve">, </w:t>
      </w:r>
      <w:hyperlink r:id="rId55" w:tgtFrame="_blank" w:tooltip="Article R142-6 du code de la sécurité sociale (Ce lien s'ouvre dans une nouvelle fenêtre)" w:history="1">
        <w:r w:rsidRPr="00174199">
          <w:rPr>
            <w:rFonts w:ascii="Arial Narrow" w:hAnsi="Arial Narrow"/>
            <w:color w:val="0000FF"/>
            <w:sz w:val="22"/>
            <w:szCs w:val="22"/>
            <w:u w:val="single"/>
            <w:lang w:eastAsia="fr-FR"/>
          </w:rPr>
          <w:t>art. R142-6</w:t>
        </w:r>
      </w:hyperlink>
      <w:r w:rsidRPr="00174199">
        <w:rPr>
          <w:rFonts w:ascii="Arial Narrow" w:hAnsi="Arial Narrow"/>
          <w:sz w:val="22"/>
          <w:szCs w:val="22"/>
          <w:lang w:eastAsia="fr-FR"/>
        </w:rPr>
        <w:t xml:space="preserve"> </w:t>
      </w:r>
      <w:r w:rsidRPr="00174199">
        <w:rPr>
          <w:rFonts w:ascii="Arial Narrow" w:hAnsi="Arial Narrow"/>
          <w:sz w:val="22"/>
          <w:szCs w:val="22"/>
          <w:lang w:eastAsia="fr-FR"/>
        </w:rPr>
        <w:br/>
      </w:r>
      <w:hyperlink r:id="rId56" w:tgtFrame="_blank" w:tooltip="(Ce lien s'ouvre dans une nouvelle fenêtre)" w:history="1">
        <w:r w:rsidRPr="00174199">
          <w:rPr>
            <w:rFonts w:ascii="Arial Narrow" w:hAnsi="Arial Narrow"/>
            <w:color w:val="0000FF"/>
            <w:sz w:val="22"/>
            <w:szCs w:val="22"/>
            <w:u w:val="single"/>
            <w:lang w:eastAsia="fr-FR"/>
          </w:rPr>
          <w:t>Circulaire ministérielle 92/53 du 04/06/1992</w:t>
        </w:r>
      </w:hyperlink>
      <w:r w:rsidRPr="00174199">
        <w:rPr>
          <w:rFonts w:ascii="Arial Narrow" w:hAnsi="Arial Narrow"/>
          <w:sz w:val="22"/>
          <w:szCs w:val="22"/>
          <w:lang w:eastAsia="fr-FR"/>
        </w:rPr>
        <w:t xml:space="preserve"> </w:t>
      </w:r>
    </w:p>
    <w:p w14:paraId="73E00913" w14:textId="77777777" w:rsidR="00174199" w:rsidRPr="00174199" w:rsidRDefault="00174199" w:rsidP="00174199">
      <w:pPr>
        <w:spacing w:before="0" w:after="120"/>
        <w:rPr>
          <w:rFonts w:ascii="Arial Narrow" w:hAnsi="Arial Narrow"/>
          <w:sz w:val="22"/>
          <w:szCs w:val="22"/>
          <w:lang w:eastAsia="fr-FR"/>
        </w:rPr>
      </w:pPr>
      <w:proofErr w:type="gramStart"/>
      <w:r w:rsidRPr="00174199">
        <w:rPr>
          <w:rFonts w:ascii="Arial Narrow" w:hAnsi="Arial Narrow"/>
          <w:sz w:val="22"/>
          <w:szCs w:val="22"/>
          <w:lang w:eastAsia="fr-FR"/>
        </w:rPr>
        <w:t>La CRA</w:t>
      </w:r>
      <w:proofErr w:type="gramEnd"/>
      <w:r w:rsidRPr="00174199">
        <w:rPr>
          <w:rFonts w:ascii="Arial Narrow" w:hAnsi="Arial Narrow"/>
          <w:sz w:val="22"/>
          <w:szCs w:val="22"/>
          <w:lang w:eastAsia="fr-FR"/>
        </w:rPr>
        <w:t xml:space="preserve"> rend sa décision dans le mois qui suit la réception de la réclamation. Ce délai est porté à 2 mois pour les décisions notifiées à compter du 01/01/2019. Passé ce délai, l'intéressé peut considérer que sa demande est rejetée et porter le litige devant le tribunal compétent. Si le demandeur produit des documents après le dépôt de sa demande, le délai débute à compter de la date de réception de ces documents. </w:t>
      </w:r>
    </w:p>
    <w:p w14:paraId="74C904B3" w14:textId="77777777" w:rsidR="00174199" w:rsidRPr="00174199" w:rsidRDefault="00174199" w:rsidP="00174199">
      <w:pPr>
        <w:spacing w:before="0" w:after="120"/>
        <w:rPr>
          <w:rFonts w:ascii="Arial Narrow" w:hAnsi="Arial Narrow"/>
          <w:sz w:val="22"/>
          <w:szCs w:val="22"/>
          <w:lang w:eastAsia="fr-FR"/>
        </w:rPr>
      </w:pPr>
      <w:hyperlink r:id="rId57" w:tgtFrame="_blank" w:tooltip="Article R142-6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R142-6</w:t>
        </w:r>
      </w:hyperlink>
      <w:r w:rsidRPr="00174199">
        <w:rPr>
          <w:rFonts w:ascii="Arial Narrow" w:hAnsi="Arial Narrow"/>
          <w:sz w:val="22"/>
          <w:szCs w:val="22"/>
          <w:lang w:eastAsia="fr-FR"/>
        </w:rPr>
        <w:br/>
      </w:r>
      <w:hyperlink r:id="rId58" w:tgtFrame="_blank" w:tooltip="(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2019/29 du 27/11/2019 § 1.4.1</w:t>
        </w:r>
      </w:hyperlink>
    </w:p>
    <w:p w14:paraId="78DDE636"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lastRenderedPageBreak/>
        <w:t xml:space="preserve">Les décisions des CRA sont soumises à la mission nationale de contrôle et d'audit des organismes de sécurité sociale, l'autorité de tutelle, qui dispose de 8 jours pour se prononcer. </w:t>
      </w:r>
    </w:p>
    <w:p w14:paraId="73D59542" w14:textId="77777777" w:rsidR="00174199" w:rsidRPr="00174199" w:rsidRDefault="00174199" w:rsidP="00174199">
      <w:pPr>
        <w:spacing w:before="0" w:after="120"/>
        <w:rPr>
          <w:rFonts w:ascii="Arial Narrow" w:hAnsi="Arial Narrow"/>
          <w:sz w:val="22"/>
          <w:szCs w:val="22"/>
          <w:lang w:eastAsia="fr-FR"/>
        </w:rPr>
      </w:pPr>
      <w:hyperlink r:id="rId59" w:tgtFrame="_blank" w:tooltip="Article L151-1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L151-1</w:t>
        </w:r>
      </w:hyperlink>
      <w:r w:rsidRPr="00174199">
        <w:rPr>
          <w:rFonts w:ascii="Arial Narrow" w:hAnsi="Arial Narrow"/>
          <w:sz w:val="22"/>
          <w:szCs w:val="22"/>
          <w:lang w:eastAsia="fr-FR"/>
        </w:rPr>
        <w:t xml:space="preserve">, </w:t>
      </w:r>
      <w:hyperlink r:id="rId60" w:tgtFrame="_blank" w:tooltip="Article R151-1 du code de la sécurité sociale (Ce lien s'ouvre dans une nouvelle fenêtre)" w:history="1">
        <w:r w:rsidRPr="00174199">
          <w:rPr>
            <w:rFonts w:ascii="Arial Narrow" w:hAnsi="Arial Narrow"/>
            <w:color w:val="0000FF"/>
            <w:sz w:val="22"/>
            <w:szCs w:val="22"/>
            <w:u w:val="single"/>
            <w:lang w:eastAsia="fr-FR"/>
          </w:rPr>
          <w:t>art. R151-1</w:t>
        </w:r>
      </w:hyperlink>
      <w:r w:rsidRPr="00174199">
        <w:rPr>
          <w:rFonts w:ascii="Arial Narrow" w:hAnsi="Arial Narrow"/>
          <w:sz w:val="22"/>
          <w:szCs w:val="22"/>
          <w:lang w:eastAsia="fr-FR"/>
        </w:rPr>
        <w:t xml:space="preserve">, </w:t>
      </w:r>
      <w:hyperlink r:id="rId61" w:tgtFrame="_blank" w:tooltip="Article R155-3 du code de la sécurité sociale (Ce lien s'ouvre dans une nouvelle fenêtre)" w:history="1">
        <w:r w:rsidRPr="00174199">
          <w:rPr>
            <w:rFonts w:ascii="Arial Narrow" w:hAnsi="Arial Narrow"/>
            <w:color w:val="0000FF"/>
            <w:sz w:val="22"/>
            <w:szCs w:val="22"/>
            <w:u w:val="single"/>
            <w:lang w:eastAsia="fr-FR"/>
          </w:rPr>
          <w:t>art. R155-3</w:t>
        </w:r>
      </w:hyperlink>
      <w:r w:rsidRPr="00174199">
        <w:rPr>
          <w:rFonts w:ascii="Arial Narrow" w:hAnsi="Arial Narrow"/>
          <w:sz w:val="22"/>
          <w:szCs w:val="22"/>
          <w:lang w:eastAsia="fr-FR"/>
        </w:rPr>
        <w:br/>
      </w:r>
      <w:hyperlink r:id="rId62" w:tgtFrame="_blank" w:tooltip="Arrêté du 09/11/2009 (Ce lien s'ouvre dans une nouvelle fenêtre)" w:history="1">
        <w:r w:rsidRPr="00174199">
          <w:rPr>
            <w:rFonts w:ascii="Arial Narrow" w:hAnsi="Arial Narrow"/>
            <w:color w:val="0000FF"/>
            <w:sz w:val="22"/>
            <w:szCs w:val="22"/>
            <w:u w:val="single"/>
            <w:lang w:eastAsia="fr-FR"/>
          </w:rPr>
          <w:t>Arrêté ministériel du 09/11/2009</w:t>
        </w:r>
      </w:hyperlink>
      <w:r w:rsidRPr="00174199">
        <w:rPr>
          <w:rFonts w:ascii="Arial Narrow" w:hAnsi="Arial Narrow"/>
          <w:sz w:val="22"/>
          <w:szCs w:val="22"/>
          <w:lang w:eastAsia="fr-FR"/>
        </w:rPr>
        <w:t> </w:t>
      </w:r>
    </w:p>
    <w:p w14:paraId="22EA1EBD"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 xml:space="preserve">La décision de la CRA peut être : </w:t>
      </w:r>
    </w:p>
    <w:p w14:paraId="0AA9FF8C" w14:textId="77777777" w:rsidR="00174199" w:rsidRPr="00174199" w:rsidRDefault="00174199" w:rsidP="00174199">
      <w:pPr>
        <w:numPr>
          <w:ilvl w:val="0"/>
          <w:numId w:val="30"/>
        </w:numPr>
        <w:spacing w:before="0" w:after="120"/>
        <w:rPr>
          <w:rFonts w:ascii="Arial Narrow" w:hAnsi="Arial Narrow"/>
          <w:sz w:val="22"/>
          <w:szCs w:val="22"/>
          <w:lang w:eastAsia="fr-FR"/>
        </w:rPr>
      </w:pPr>
      <w:r w:rsidRPr="00174199">
        <w:rPr>
          <w:rFonts w:ascii="Arial Narrow" w:hAnsi="Arial Narrow"/>
          <w:sz w:val="22"/>
          <w:szCs w:val="22"/>
          <w:lang w:eastAsia="fr-FR"/>
        </w:rPr>
        <w:t>annulée si la décision est contraire à la loi ;</w:t>
      </w:r>
    </w:p>
    <w:p w14:paraId="36BD4AE4" w14:textId="77777777" w:rsidR="00174199" w:rsidRPr="00174199" w:rsidRDefault="00174199" w:rsidP="00174199">
      <w:pPr>
        <w:numPr>
          <w:ilvl w:val="0"/>
          <w:numId w:val="30"/>
        </w:numPr>
        <w:spacing w:before="0" w:after="120"/>
        <w:rPr>
          <w:rFonts w:ascii="Arial Narrow" w:hAnsi="Arial Narrow"/>
          <w:sz w:val="22"/>
          <w:szCs w:val="22"/>
          <w:lang w:eastAsia="fr-FR"/>
        </w:rPr>
      </w:pPr>
      <w:r w:rsidRPr="00174199">
        <w:rPr>
          <w:rFonts w:ascii="Arial Narrow" w:hAnsi="Arial Narrow"/>
          <w:sz w:val="22"/>
          <w:szCs w:val="22"/>
          <w:lang w:eastAsia="fr-FR"/>
        </w:rPr>
        <w:t>suspendue si la décision est susceptible de compromettre l'équilibre financier des risques et ce, jusqu'à la décision du ministre chargé de la sécurité sociale saisi aux fins d'annulation.</w:t>
      </w:r>
    </w:p>
    <w:p w14:paraId="16EEED0A" w14:textId="77777777" w:rsidR="00174199" w:rsidRPr="00174199" w:rsidRDefault="00174199" w:rsidP="00174199">
      <w:pPr>
        <w:spacing w:before="0" w:after="120"/>
        <w:rPr>
          <w:rFonts w:ascii="Arial Narrow" w:hAnsi="Arial Narrow"/>
          <w:sz w:val="22"/>
          <w:szCs w:val="22"/>
          <w:lang w:eastAsia="fr-FR"/>
        </w:rPr>
      </w:pPr>
      <w:hyperlink r:id="rId63" w:tgtFrame="_blank" w:tooltip="Article L151-1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L151-1</w:t>
        </w:r>
      </w:hyperlink>
      <w:r w:rsidRPr="00174199">
        <w:rPr>
          <w:rFonts w:ascii="Arial Narrow" w:hAnsi="Arial Narrow"/>
          <w:sz w:val="22"/>
          <w:szCs w:val="22"/>
          <w:lang w:eastAsia="fr-FR"/>
        </w:rPr>
        <w:t>, </w:t>
      </w:r>
      <w:hyperlink r:id="rId64" w:tgtFrame="_blank" w:tooltip="Article R151-2 du code de la sécurité sociale (Ce lien s'ouvre dans une nouvelle fenêtre)" w:history="1">
        <w:r w:rsidRPr="00174199">
          <w:rPr>
            <w:rFonts w:ascii="Arial Narrow" w:hAnsi="Arial Narrow"/>
            <w:color w:val="0000FF"/>
            <w:sz w:val="22"/>
            <w:szCs w:val="22"/>
            <w:u w:val="single"/>
            <w:lang w:eastAsia="fr-FR"/>
          </w:rPr>
          <w:t>art R151-2</w:t>
        </w:r>
      </w:hyperlink>
      <w:r w:rsidRPr="00174199">
        <w:rPr>
          <w:rFonts w:ascii="Arial Narrow" w:hAnsi="Arial Narrow"/>
          <w:sz w:val="22"/>
          <w:szCs w:val="22"/>
          <w:lang w:eastAsia="fr-FR"/>
        </w:rPr>
        <w:t xml:space="preserve"> </w:t>
      </w:r>
      <w:r w:rsidRPr="00174199">
        <w:rPr>
          <w:rFonts w:ascii="Arial Narrow" w:hAnsi="Arial Narrow"/>
          <w:sz w:val="22"/>
          <w:szCs w:val="22"/>
          <w:lang w:eastAsia="fr-FR"/>
        </w:rPr>
        <w:br/>
      </w:r>
      <w:hyperlink r:id="rId65" w:anchor="41" w:tgtFrame="_blank" w:tooltip="(Ce lien s'ouvre dans une nouvelle fenêtre)" w:history="1">
        <w:r w:rsidRPr="00174199">
          <w:rPr>
            <w:rFonts w:ascii="Arial Narrow" w:hAnsi="Arial Narrow"/>
            <w:color w:val="0000FF"/>
            <w:sz w:val="22"/>
            <w:szCs w:val="22"/>
            <w:u w:val="single"/>
            <w:lang w:eastAsia="fr-FR"/>
          </w:rPr>
          <w:t>Circulaire ministérielle 99/348 du 16/06/1999</w:t>
        </w:r>
      </w:hyperlink>
      <w:r w:rsidRPr="00174199">
        <w:rPr>
          <w:rFonts w:ascii="Arial Narrow" w:hAnsi="Arial Narrow"/>
          <w:sz w:val="22"/>
          <w:szCs w:val="22"/>
          <w:lang w:eastAsia="fr-FR"/>
        </w:rPr>
        <w:t xml:space="preserve"> </w:t>
      </w:r>
    </w:p>
    <w:p w14:paraId="45AA10D8"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Si la décision est annulée, la CRA prend une nouvelle décision conforme à celle de l'autorité de tutelle. La décision est notifiée au demandeur, elle indique les voies de recours.</w:t>
      </w:r>
    </w:p>
    <w:p w14:paraId="2854F62D" w14:textId="77777777" w:rsidR="00174199" w:rsidRPr="00174199" w:rsidRDefault="00174199" w:rsidP="00174199">
      <w:pPr>
        <w:spacing w:before="0" w:after="120"/>
        <w:rPr>
          <w:rFonts w:ascii="Arial Narrow" w:hAnsi="Arial Narrow"/>
          <w:sz w:val="22"/>
          <w:szCs w:val="22"/>
          <w:lang w:eastAsia="fr-FR"/>
        </w:rPr>
      </w:pPr>
      <w:hyperlink r:id="rId66" w:tgtFrame="_blank" w:tooltip="(Ce lien s'ouvre dans une nouvelle fenêtre)" w:history="1">
        <w:r w:rsidRPr="00174199">
          <w:rPr>
            <w:rFonts w:ascii="Arial Narrow" w:hAnsi="Arial Narrow"/>
            <w:color w:val="0000FF"/>
            <w:sz w:val="22"/>
            <w:szCs w:val="22"/>
            <w:u w:val="single"/>
            <w:lang w:eastAsia="fr-FR"/>
          </w:rPr>
          <w:t>Circulaire ministérielle 40/SS du 05/05/1954</w:t>
        </w:r>
      </w:hyperlink>
      <w:r w:rsidRPr="00174199">
        <w:rPr>
          <w:rFonts w:ascii="Arial Narrow" w:hAnsi="Arial Narrow"/>
          <w:sz w:val="22"/>
          <w:szCs w:val="22"/>
          <w:lang w:eastAsia="fr-FR"/>
        </w:rPr>
        <w:t xml:space="preserve"> </w:t>
      </w:r>
      <w:r w:rsidRPr="00174199">
        <w:rPr>
          <w:rFonts w:ascii="Arial Narrow" w:hAnsi="Arial Narrow"/>
          <w:sz w:val="22"/>
          <w:szCs w:val="22"/>
          <w:lang w:eastAsia="fr-FR"/>
        </w:rPr>
        <w:br/>
      </w:r>
      <w:hyperlink r:id="rId67" w:tgtFrame="_blank" w:tooltip="(Ce lien s'ouvre dans une nouvelle fenêtre)" w:history="1">
        <w:r w:rsidRPr="00174199">
          <w:rPr>
            <w:rFonts w:ascii="Arial Narrow" w:hAnsi="Arial Narrow"/>
            <w:color w:val="0000FF"/>
            <w:sz w:val="22"/>
            <w:szCs w:val="22"/>
            <w:u w:val="single"/>
            <w:lang w:eastAsia="fr-FR"/>
          </w:rPr>
          <w:t>Circulaire ministérielle 99/348 du 16/06/1999</w:t>
        </w:r>
      </w:hyperlink>
      <w:r w:rsidRPr="00174199">
        <w:rPr>
          <w:rFonts w:ascii="Arial Narrow" w:hAnsi="Arial Narrow"/>
          <w:sz w:val="22"/>
          <w:szCs w:val="22"/>
          <w:lang w:eastAsia="fr-FR"/>
        </w:rPr>
        <w:t xml:space="preserve"> </w:t>
      </w:r>
    </w:p>
    <w:p w14:paraId="471B4C5C"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 xml:space="preserve">Les caisses de retraite doivent informer la </w:t>
      </w:r>
      <w:proofErr w:type="spellStart"/>
      <w:r w:rsidRPr="00174199">
        <w:rPr>
          <w:rFonts w:ascii="Arial Narrow" w:hAnsi="Arial Narrow"/>
          <w:sz w:val="22"/>
          <w:szCs w:val="22"/>
          <w:lang w:eastAsia="fr-FR"/>
        </w:rPr>
        <w:t>Cnav</w:t>
      </w:r>
      <w:proofErr w:type="spellEnd"/>
      <w:r w:rsidRPr="00174199">
        <w:rPr>
          <w:rFonts w:ascii="Arial Narrow" w:hAnsi="Arial Narrow"/>
          <w:sz w:val="22"/>
          <w:szCs w:val="22"/>
          <w:lang w:eastAsia="fr-FR"/>
        </w:rPr>
        <w:t xml:space="preserve"> des décisions prises en matière d'assurance vieillesse et d'assurance veuvage. </w:t>
      </w:r>
    </w:p>
    <w:p w14:paraId="7D4D4C12" w14:textId="77777777" w:rsidR="00174199" w:rsidRPr="00174199" w:rsidRDefault="00174199" w:rsidP="00174199">
      <w:pPr>
        <w:spacing w:before="0" w:after="120"/>
        <w:rPr>
          <w:rFonts w:ascii="Arial Narrow" w:hAnsi="Arial Narrow"/>
          <w:sz w:val="22"/>
          <w:szCs w:val="22"/>
          <w:lang w:eastAsia="fr-FR"/>
        </w:rPr>
      </w:pPr>
      <w:hyperlink r:id="rId68" w:tgtFrame="_blank" w:tooltip="Article R215-4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R215-4</w:t>
        </w:r>
      </w:hyperlink>
      <w:r w:rsidRPr="00174199">
        <w:rPr>
          <w:rFonts w:ascii="Arial Narrow" w:hAnsi="Arial Narrow"/>
          <w:sz w:val="22"/>
          <w:szCs w:val="22"/>
          <w:lang w:eastAsia="fr-FR"/>
        </w:rPr>
        <w:t xml:space="preserve"> </w:t>
      </w:r>
    </w:p>
    <w:p w14:paraId="6A356ADB"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La décision de la CRA peut être contestée dans les 2 mois qui suivent la notification de sa décision devant le tribunal judiciaire territorialement compétent pour gérer son recours.</w:t>
      </w:r>
    </w:p>
    <w:p w14:paraId="1E514274" w14:textId="77777777" w:rsidR="00174199" w:rsidRPr="00174199" w:rsidRDefault="00174199" w:rsidP="00174199">
      <w:pPr>
        <w:spacing w:before="0" w:after="120"/>
        <w:rPr>
          <w:rFonts w:ascii="Arial Narrow" w:hAnsi="Arial Narrow"/>
          <w:sz w:val="22"/>
          <w:szCs w:val="22"/>
          <w:lang w:eastAsia="fr-FR"/>
        </w:rPr>
      </w:pPr>
      <w:hyperlink r:id="rId69" w:tgtFrame="_blank" w:tooltip="Article R142-6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R142-6</w:t>
        </w:r>
      </w:hyperlink>
      <w:r w:rsidRPr="00174199">
        <w:rPr>
          <w:rFonts w:ascii="Arial Narrow" w:hAnsi="Arial Narrow"/>
          <w:sz w:val="22"/>
          <w:szCs w:val="22"/>
          <w:lang w:eastAsia="fr-FR"/>
        </w:rPr>
        <w:br/>
      </w:r>
      <w:hyperlink r:id="rId70" w:tgtFrame="_blank" w:tooltip="Article L211-16 du code de l'organisation judiciaire (Ce lien s'ouvre dans une nouvelle fenêtre)" w:history="1">
        <w:r w:rsidRPr="00174199">
          <w:rPr>
            <w:rFonts w:ascii="Arial Narrow" w:hAnsi="Arial Narrow"/>
            <w:color w:val="0000FF"/>
            <w:sz w:val="22"/>
            <w:szCs w:val="22"/>
            <w:u w:val="single"/>
            <w:lang w:eastAsia="fr-FR"/>
          </w:rPr>
          <w:t>Code de l'organisation judiciaire art. L211-16</w:t>
        </w:r>
      </w:hyperlink>
      <w:r w:rsidRPr="00174199">
        <w:rPr>
          <w:rFonts w:ascii="Arial Narrow" w:hAnsi="Arial Narrow"/>
          <w:sz w:val="22"/>
          <w:szCs w:val="22"/>
          <w:lang w:eastAsia="fr-FR"/>
        </w:rPr>
        <w:br/>
      </w:r>
      <w:hyperlink r:id="rId71" w:tgtFrame="_blank" w:tooltip="(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2019/29 du 27/11/2019 § 1.4.1</w:t>
        </w:r>
      </w:hyperlink>
    </w:p>
    <w:p w14:paraId="7A79BB3C" w14:textId="77777777" w:rsidR="00174199" w:rsidRPr="00174199" w:rsidRDefault="00174199" w:rsidP="00174199">
      <w:pPr>
        <w:spacing w:before="0" w:after="120"/>
        <w:rPr>
          <w:rFonts w:ascii="Arial Narrow" w:hAnsi="Arial Narrow"/>
          <w:sz w:val="22"/>
          <w:szCs w:val="22"/>
          <w:lang w:eastAsia="fr-FR"/>
        </w:rPr>
      </w:pPr>
      <w:proofErr w:type="spellStart"/>
      <w:r w:rsidRPr="00174199">
        <w:rPr>
          <w:rFonts w:ascii="Arial Narrow" w:hAnsi="Arial Narrow"/>
          <w:sz w:val="22"/>
          <w:szCs w:val="22"/>
          <w:lang w:eastAsia="fr-FR"/>
        </w:rPr>
        <w:t>A</w:t>
      </w:r>
      <w:proofErr w:type="spellEnd"/>
      <w:r w:rsidRPr="00174199">
        <w:rPr>
          <w:rFonts w:ascii="Arial Narrow" w:hAnsi="Arial Narrow"/>
          <w:sz w:val="22"/>
          <w:szCs w:val="22"/>
          <w:lang w:eastAsia="fr-FR"/>
        </w:rPr>
        <w:t xml:space="preserve"> défaut de recours dans les délais impartis, la décision de la CRA devient définitive. Elle a l'autorité de la chose décidée.</w:t>
      </w:r>
    </w:p>
    <w:p w14:paraId="2B10D792" w14:textId="77777777" w:rsidR="00174199" w:rsidRPr="00174199" w:rsidRDefault="00174199" w:rsidP="00174199">
      <w:pPr>
        <w:spacing w:before="0" w:after="120"/>
        <w:rPr>
          <w:rFonts w:ascii="Arial Narrow" w:hAnsi="Arial Narrow"/>
          <w:sz w:val="22"/>
          <w:szCs w:val="22"/>
          <w:lang w:eastAsia="fr-FR"/>
        </w:rPr>
      </w:pPr>
      <w:hyperlink r:id="rId72" w:tgtFrame="_blank" w:tooltip="Article R142-6 du code de la sécurité sociale (Ce lien s'ouvre dans une nouvelle fenêtre)" w:history="1">
        <w:proofErr w:type="spellStart"/>
        <w:r w:rsidRPr="00174199">
          <w:rPr>
            <w:rFonts w:ascii="Arial Narrow" w:hAnsi="Arial Narrow"/>
            <w:color w:val="0000FF"/>
            <w:sz w:val="22"/>
            <w:szCs w:val="22"/>
            <w:u w:val="single"/>
            <w:lang w:eastAsia="fr-FR"/>
          </w:rPr>
          <w:t>Css</w:t>
        </w:r>
        <w:proofErr w:type="spellEnd"/>
        <w:r w:rsidRPr="00174199">
          <w:rPr>
            <w:rFonts w:ascii="Arial Narrow" w:hAnsi="Arial Narrow"/>
            <w:color w:val="0000FF"/>
            <w:sz w:val="22"/>
            <w:szCs w:val="22"/>
            <w:u w:val="single"/>
            <w:lang w:eastAsia="fr-FR"/>
          </w:rPr>
          <w:t xml:space="preserve"> art. R142-6</w:t>
        </w:r>
      </w:hyperlink>
    </w:p>
    <w:p w14:paraId="402ACFBC" w14:textId="77777777" w:rsidR="00174199" w:rsidRPr="00174199" w:rsidRDefault="00174199" w:rsidP="00174199">
      <w:pPr>
        <w:numPr>
          <w:ilvl w:val="0"/>
          <w:numId w:val="15"/>
        </w:numPr>
        <w:spacing w:before="0" w:after="120"/>
        <w:ind w:left="0" w:firstLine="0"/>
        <w:outlineLvl w:val="1"/>
        <w:rPr>
          <w:rFonts w:ascii="Arial Narrow" w:hAnsi="Arial Narrow"/>
          <w:b/>
          <w:bCs/>
          <w:sz w:val="22"/>
          <w:szCs w:val="22"/>
          <w:lang w:eastAsia="fr-FR"/>
        </w:rPr>
      </w:pPr>
      <w:r w:rsidRPr="00174199">
        <w:rPr>
          <w:rFonts w:ascii="Arial Narrow" w:hAnsi="Arial Narrow"/>
          <w:b/>
          <w:bCs/>
          <w:sz w:val="22"/>
          <w:szCs w:val="22"/>
          <w:lang w:eastAsia="fr-FR"/>
        </w:rPr>
        <w:t>Anciennes dispositions</w:t>
      </w:r>
    </w:p>
    <w:p w14:paraId="45703504" w14:textId="77777777" w:rsidR="00174199" w:rsidRPr="00174199" w:rsidRDefault="00174199" w:rsidP="00174199">
      <w:pPr>
        <w:spacing w:before="0" w:after="120"/>
        <w:outlineLvl w:val="3"/>
        <w:rPr>
          <w:rFonts w:ascii="Arial Narrow" w:hAnsi="Arial Narrow"/>
          <w:b/>
          <w:bCs/>
          <w:sz w:val="22"/>
          <w:szCs w:val="22"/>
          <w:lang w:eastAsia="fr-FR"/>
        </w:rPr>
      </w:pPr>
      <w:r w:rsidRPr="00174199">
        <w:rPr>
          <w:rFonts w:ascii="Arial Narrow" w:hAnsi="Arial Narrow"/>
          <w:b/>
          <w:bCs/>
          <w:sz w:val="22"/>
          <w:szCs w:val="22"/>
          <w:lang w:eastAsia="fr-FR"/>
        </w:rPr>
        <w:t>Du 13/03/2020 au 23/06/2020 - Mesures dérogatoires Covid 19</w:t>
      </w:r>
    </w:p>
    <w:p w14:paraId="7CAEAC7F"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Des mesures dérogatoires liées à l’épidémie de coronavirus ont été mises en place pour permettre à l'assuré de défendre ses droits.</w:t>
      </w:r>
    </w:p>
    <w:p w14:paraId="541C805E"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Ainsi, les délais de saisine de la Commission de recours amiable (CRA) et des tribunaux après décision de la CRA ont été suspendus à compter du 13/03/2020 jusqu'au 23/06/2020. La prescription ne sera pas opposée à la contestation qui n'a pas pu être formulée dans le délai imparti. Les juridictions concernées ont informé les intéressés et les avocats de ces reports.</w:t>
      </w:r>
    </w:p>
    <w:p w14:paraId="64757648" w14:textId="77777777" w:rsidR="00174199" w:rsidRPr="00174199" w:rsidRDefault="00174199" w:rsidP="00174199">
      <w:pPr>
        <w:spacing w:before="0" w:after="120"/>
        <w:rPr>
          <w:rFonts w:ascii="Arial Narrow" w:hAnsi="Arial Narrow"/>
          <w:sz w:val="22"/>
          <w:szCs w:val="22"/>
          <w:lang w:eastAsia="fr-FR"/>
        </w:rPr>
      </w:pPr>
      <w:hyperlink r:id="rId73" w:tgtFrame="_blank" w:tooltip="(Ce lien s'ouvre dans une nouvelle fenêtre)" w:history="1">
        <w:r w:rsidRPr="00174199">
          <w:rPr>
            <w:rFonts w:ascii="Arial Narrow" w:hAnsi="Arial Narrow"/>
            <w:color w:val="0000FF"/>
            <w:sz w:val="22"/>
            <w:szCs w:val="22"/>
            <w:u w:val="single"/>
            <w:lang w:eastAsia="fr-FR"/>
          </w:rPr>
          <w:t>Circulaire de la Chancellerie du 14/03/2020</w:t>
        </w:r>
      </w:hyperlink>
    </w:p>
    <w:p w14:paraId="094783B9"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Instruction réseau </w:t>
      </w:r>
      <w:proofErr w:type="spellStart"/>
      <w:r w:rsidRPr="00174199">
        <w:rPr>
          <w:rFonts w:ascii="Arial Narrow" w:hAnsi="Arial Narrow"/>
          <w:sz w:val="22"/>
          <w:szCs w:val="22"/>
          <w:lang w:eastAsia="fr-FR"/>
        </w:rPr>
        <w:t>Cnav</w:t>
      </w:r>
      <w:proofErr w:type="spellEnd"/>
      <w:r w:rsidRPr="00174199">
        <w:rPr>
          <w:rFonts w:ascii="Arial Narrow" w:hAnsi="Arial Narrow"/>
          <w:sz w:val="22"/>
          <w:szCs w:val="22"/>
          <w:lang w:eastAsia="fr-FR"/>
        </w:rPr>
        <w:t> 2020/09 du 20/03/2020</w:t>
      </w:r>
    </w:p>
    <w:p w14:paraId="17950256" w14:textId="77777777" w:rsidR="00174199" w:rsidRPr="00174199" w:rsidRDefault="00174199" w:rsidP="00174199">
      <w:pPr>
        <w:spacing w:before="0" w:after="120"/>
        <w:outlineLvl w:val="3"/>
        <w:rPr>
          <w:rFonts w:ascii="Arial Narrow" w:hAnsi="Arial Narrow"/>
          <w:b/>
          <w:bCs/>
          <w:sz w:val="22"/>
          <w:szCs w:val="22"/>
          <w:lang w:eastAsia="fr-FR"/>
        </w:rPr>
      </w:pPr>
      <w:r w:rsidRPr="00174199">
        <w:rPr>
          <w:rFonts w:ascii="Arial Narrow" w:hAnsi="Arial Narrow"/>
          <w:b/>
          <w:bCs/>
          <w:sz w:val="22"/>
          <w:szCs w:val="22"/>
          <w:lang w:eastAsia="fr-FR"/>
        </w:rPr>
        <w:t xml:space="preserve">Avant le 01/01/2020 - Compétence du tribunal de grande instance </w:t>
      </w:r>
    </w:p>
    <w:p w14:paraId="4A876493" w14:textId="77777777" w:rsidR="00174199" w:rsidRPr="00174199" w:rsidRDefault="00174199" w:rsidP="00174199">
      <w:pPr>
        <w:spacing w:before="0" w:after="120"/>
        <w:rPr>
          <w:rFonts w:ascii="Arial Narrow" w:hAnsi="Arial Narrow"/>
          <w:sz w:val="22"/>
          <w:szCs w:val="22"/>
          <w:lang w:eastAsia="fr-FR"/>
        </w:rPr>
      </w:pPr>
      <w:r w:rsidRPr="00174199">
        <w:rPr>
          <w:rFonts w:ascii="Arial Narrow" w:hAnsi="Arial Narrow"/>
          <w:sz w:val="22"/>
          <w:szCs w:val="22"/>
          <w:lang w:eastAsia="fr-FR"/>
        </w:rPr>
        <w:t xml:space="preserve">La décision de la CRA pouvait être contestée devant le </w:t>
      </w:r>
      <w:hyperlink r:id="rId74" w:tgtFrame="_blank" w:tooltip="Exposé Tribunal de grande instance (Ce lien s'ouvre dans une nouvelle fenêtre)" w:history="1">
        <w:r w:rsidRPr="00174199">
          <w:rPr>
            <w:rFonts w:ascii="Arial Narrow" w:hAnsi="Arial Narrow"/>
            <w:color w:val="0000FF"/>
            <w:sz w:val="22"/>
            <w:szCs w:val="22"/>
            <w:u w:val="single"/>
            <w:lang w:eastAsia="fr-FR"/>
          </w:rPr>
          <w:t>tribunal de grande instance</w:t>
        </w:r>
      </w:hyperlink>
      <w:r w:rsidRPr="00174199">
        <w:rPr>
          <w:rFonts w:ascii="Arial Narrow" w:hAnsi="Arial Narrow"/>
          <w:sz w:val="22"/>
          <w:szCs w:val="22"/>
          <w:lang w:eastAsia="fr-FR"/>
        </w:rPr>
        <w:t xml:space="preserve"> (TGI) devenu le tribunal compétent en matière de contentieux général et technique de la sécurité sociale. Le TGI spécialement désigné remplaçait les tribunaux des affaires de sécurité sociale (Tass) et les tribunaux du contentieux de l'incapacité (TCI) supprimés au 31/12/2018. </w:t>
      </w:r>
    </w:p>
    <w:p w14:paraId="472A323E" w14:textId="77777777" w:rsidR="00174199" w:rsidRPr="00174199" w:rsidRDefault="00174199" w:rsidP="00174199">
      <w:pPr>
        <w:spacing w:before="0" w:after="120"/>
        <w:rPr>
          <w:rFonts w:ascii="Arial Narrow" w:hAnsi="Arial Narrow"/>
          <w:sz w:val="22"/>
          <w:szCs w:val="22"/>
          <w:lang w:eastAsia="fr-FR"/>
        </w:rPr>
      </w:pPr>
      <w:hyperlink r:id="rId75" w:anchor="JORFARTI000037538688" w:tgtFrame="_blank" w:tooltip="Décret 2018-928 du 29/10/2018  (Ce lien s'ouvre dans une nouvelle fenêtre)" w:history="1">
        <w:r w:rsidRPr="00174199">
          <w:rPr>
            <w:rFonts w:ascii="Arial Narrow" w:hAnsi="Arial Narrow"/>
            <w:color w:val="0000FF"/>
            <w:sz w:val="22"/>
            <w:szCs w:val="22"/>
            <w:u w:val="single"/>
            <w:lang w:eastAsia="fr-FR"/>
          </w:rPr>
          <w:t>Décret 2018-928 du 29/10/2018 art.16</w:t>
        </w:r>
      </w:hyperlink>
      <w:r w:rsidRPr="00174199">
        <w:rPr>
          <w:rFonts w:ascii="Arial Narrow" w:hAnsi="Arial Narrow"/>
          <w:sz w:val="22"/>
          <w:szCs w:val="22"/>
          <w:lang w:eastAsia="fr-FR"/>
        </w:rPr>
        <w:t xml:space="preserve"> </w:t>
      </w:r>
      <w:r w:rsidRPr="00174199">
        <w:rPr>
          <w:rFonts w:ascii="Arial Narrow" w:hAnsi="Arial Narrow"/>
          <w:sz w:val="22"/>
          <w:szCs w:val="22"/>
          <w:lang w:eastAsia="fr-FR"/>
        </w:rPr>
        <w:br/>
      </w:r>
      <w:hyperlink r:id="rId76" w:tgtFrame="_blank" w:tooltip="Article L211-16 du code de l'organisation judiciaire  (Ce lien s'ouvre dans une nouvelle fenêtre)" w:history="1">
        <w:r w:rsidRPr="00174199">
          <w:rPr>
            <w:rFonts w:ascii="Arial Narrow" w:hAnsi="Arial Narrow"/>
            <w:color w:val="0000FF"/>
            <w:sz w:val="22"/>
            <w:szCs w:val="22"/>
            <w:u w:val="single"/>
            <w:lang w:eastAsia="fr-FR"/>
          </w:rPr>
          <w:t>Code de l'organisation judiciaire art. L211-16</w:t>
        </w:r>
      </w:hyperlink>
      <w:r w:rsidRPr="00174199">
        <w:rPr>
          <w:rFonts w:ascii="Arial Narrow" w:hAnsi="Arial Narrow"/>
          <w:sz w:val="22"/>
          <w:szCs w:val="22"/>
          <w:lang w:eastAsia="fr-FR"/>
        </w:rPr>
        <w:t xml:space="preserve"> </w:t>
      </w:r>
      <w:r w:rsidRPr="00174199">
        <w:rPr>
          <w:rFonts w:ascii="Arial Narrow" w:hAnsi="Arial Narrow"/>
          <w:sz w:val="22"/>
          <w:szCs w:val="22"/>
          <w:lang w:eastAsia="fr-FR"/>
        </w:rPr>
        <w:br/>
      </w:r>
      <w:hyperlink r:id="rId77" w:tgtFrame="_blank" w:tooltip="Circulaire 2018/30 du 20/12/2018  (Ce lien s'ouvre dans une nouvelle fenêtre)" w:history="1">
        <w:r w:rsidRPr="00174199">
          <w:rPr>
            <w:rFonts w:ascii="Arial Narrow" w:hAnsi="Arial Narrow"/>
            <w:color w:val="0000FF"/>
            <w:sz w:val="22"/>
            <w:szCs w:val="22"/>
            <w:u w:val="single"/>
            <w:lang w:eastAsia="fr-FR"/>
          </w:rPr>
          <w:t xml:space="preserve">Circulaire </w:t>
        </w:r>
        <w:proofErr w:type="spellStart"/>
        <w:r w:rsidRPr="00174199">
          <w:rPr>
            <w:rFonts w:ascii="Arial Narrow" w:hAnsi="Arial Narrow"/>
            <w:color w:val="0000FF"/>
            <w:sz w:val="22"/>
            <w:szCs w:val="22"/>
            <w:u w:val="single"/>
            <w:lang w:eastAsia="fr-FR"/>
          </w:rPr>
          <w:t>Cnav</w:t>
        </w:r>
        <w:proofErr w:type="spellEnd"/>
        <w:r w:rsidRPr="00174199">
          <w:rPr>
            <w:rFonts w:ascii="Arial Narrow" w:hAnsi="Arial Narrow"/>
            <w:color w:val="0000FF"/>
            <w:sz w:val="22"/>
            <w:szCs w:val="22"/>
            <w:u w:val="single"/>
            <w:lang w:eastAsia="fr-FR"/>
          </w:rPr>
          <w:t xml:space="preserve"> 2018/30 du 20/12/2018 § 1.1 à 13</w:t>
        </w:r>
      </w:hyperlink>
    </w:p>
    <w:p w14:paraId="00E94026" w14:textId="77777777" w:rsidR="004603D6" w:rsidRPr="00174199" w:rsidRDefault="004603D6" w:rsidP="00174199">
      <w:pPr>
        <w:spacing w:before="0" w:after="120"/>
        <w:rPr>
          <w:rFonts w:ascii="Arial Narrow" w:eastAsia="Calibri" w:hAnsi="Arial Narrow"/>
          <w:sz w:val="22"/>
          <w:szCs w:val="22"/>
        </w:rPr>
      </w:pPr>
    </w:p>
    <w:sectPr w:rsidR="004603D6" w:rsidRPr="00174199" w:rsidSect="00292C1B">
      <w:headerReference w:type="even" r:id="rId78"/>
      <w:headerReference w:type="default" r:id="rId79"/>
      <w:footerReference w:type="even" r:id="rId80"/>
      <w:footerReference w:type="default" r:id="rId81"/>
      <w:headerReference w:type="first" r:id="rId82"/>
      <w:footerReference w:type="first" r:id="rId8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6F67" w14:textId="77777777" w:rsidR="00C23591" w:rsidRDefault="00C23591" w:rsidP="00437985">
      <w:r>
        <w:separator/>
      </w:r>
    </w:p>
  </w:endnote>
  <w:endnote w:type="continuationSeparator" w:id="0">
    <w:p w14:paraId="056F1A35" w14:textId="77777777" w:rsidR="00C23591" w:rsidRDefault="00C23591"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694B"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5FE7"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39D42BE9"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4759"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C6328" w14:textId="77777777" w:rsidR="00C23591" w:rsidRDefault="00C23591" w:rsidP="00437985">
      <w:r>
        <w:separator/>
      </w:r>
    </w:p>
  </w:footnote>
  <w:footnote w:type="continuationSeparator" w:id="0">
    <w:p w14:paraId="5E9FB643" w14:textId="77777777" w:rsidR="00C23591" w:rsidRDefault="00C23591"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36E4"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4250"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E157"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2pt;height:12pt;visibility:visible;mso-wrap-style:square" o:bullet="t">
        <v:imagedata r:id="rId1" o:title=""/>
      </v:shape>
    </w:pict>
  </w:numPicBullet>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7A1506B"/>
    <w:multiLevelType w:val="multilevel"/>
    <w:tmpl w:val="C6F8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F14342"/>
    <w:multiLevelType w:val="multilevel"/>
    <w:tmpl w:val="F90E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A25007"/>
    <w:multiLevelType w:val="multilevel"/>
    <w:tmpl w:val="BFEE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11C25"/>
    <w:multiLevelType w:val="hybridMultilevel"/>
    <w:tmpl w:val="CB5E911C"/>
    <w:lvl w:ilvl="0" w:tplc="77F8FFFC">
      <w:start w:val="1"/>
      <w:numFmt w:val="bullet"/>
      <w:lvlText w:val=""/>
      <w:lvlPicBulletId w:val="0"/>
      <w:lvlJc w:val="left"/>
      <w:pPr>
        <w:tabs>
          <w:tab w:val="num" w:pos="720"/>
        </w:tabs>
        <w:ind w:left="720" w:hanging="360"/>
      </w:pPr>
      <w:rPr>
        <w:rFonts w:ascii="Symbol" w:hAnsi="Symbol" w:hint="default"/>
      </w:rPr>
    </w:lvl>
    <w:lvl w:ilvl="1" w:tplc="F0C68762" w:tentative="1">
      <w:start w:val="1"/>
      <w:numFmt w:val="bullet"/>
      <w:lvlText w:val=""/>
      <w:lvlJc w:val="left"/>
      <w:pPr>
        <w:tabs>
          <w:tab w:val="num" w:pos="1440"/>
        </w:tabs>
        <w:ind w:left="1440" w:hanging="360"/>
      </w:pPr>
      <w:rPr>
        <w:rFonts w:ascii="Symbol" w:hAnsi="Symbol" w:hint="default"/>
      </w:rPr>
    </w:lvl>
    <w:lvl w:ilvl="2" w:tplc="6060999A" w:tentative="1">
      <w:start w:val="1"/>
      <w:numFmt w:val="bullet"/>
      <w:lvlText w:val=""/>
      <w:lvlJc w:val="left"/>
      <w:pPr>
        <w:tabs>
          <w:tab w:val="num" w:pos="2160"/>
        </w:tabs>
        <w:ind w:left="2160" w:hanging="360"/>
      </w:pPr>
      <w:rPr>
        <w:rFonts w:ascii="Symbol" w:hAnsi="Symbol" w:hint="default"/>
      </w:rPr>
    </w:lvl>
    <w:lvl w:ilvl="3" w:tplc="52422854" w:tentative="1">
      <w:start w:val="1"/>
      <w:numFmt w:val="bullet"/>
      <w:lvlText w:val=""/>
      <w:lvlJc w:val="left"/>
      <w:pPr>
        <w:tabs>
          <w:tab w:val="num" w:pos="2880"/>
        </w:tabs>
        <w:ind w:left="2880" w:hanging="360"/>
      </w:pPr>
      <w:rPr>
        <w:rFonts w:ascii="Symbol" w:hAnsi="Symbol" w:hint="default"/>
      </w:rPr>
    </w:lvl>
    <w:lvl w:ilvl="4" w:tplc="80B2988E" w:tentative="1">
      <w:start w:val="1"/>
      <w:numFmt w:val="bullet"/>
      <w:lvlText w:val=""/>
      <w:lvlJc w:val="left"/>
      <w:pPr>
        <w:tabs>
          <w:tab w:val="num" w:pos="3600"/>
        </w:tabs>
        <w:ind w:left="3600" w:hanging="360"/>
      </w:pPr>
      <w:rPr>
        <w:rFonts w:ascii="Symbol" w:hAnsi="Symbol" w:hint="default"/>
      </w:rPr>
    </w:lvl>
    <w:lvl w:ilvl="5" w:tplc="F5E886A6" w:tentative="1">
      <w:start w:val="1"/>
      <w:numFmt w:val="bullet"/>
      <w:lvlText w:val=""/>
      <w:lvlJc w:val="left"/>
      <w:pPr>
        <w:tabs>
          <w:tab w:val="num" w:pos="4320"/>
        </w:tabs>
        <w:ind w:left="4320" w:hanging="360"/>
      </w:pPr>
      <w:rPr>
        <w:rFonts w:ascii="Symbol" w:hAnsi="Symbol" w:hint="default"/>
      </w:rPr>
    </w:lvl>
    <w:lvl w:ilvl="6" w:tplc="14D8DF26" w:tentative="1">
      <w:start w:val="1"/>
      <w:numFmt w:val="bullet"/>
      <w:lvlText w:val=""/>
      <w:lvlJc w:val="left"/>
      <w:pPr>
        <w:tabs>
          <w:tab w:val="num" w:pos="5040"/>
        </w:tabs>
        <w:ind w:left="5040" w:hanging="360"/>
      </w:pPr>
      <w:rPr>
        <w:rFonts w:ascii="Symbol" w:hAnsi="Symbol" w:hint="default"/>
      </w:rPr>
    </w:lvl>
    <w:lvl w:ilvl="7" w:tplc="66F42DAC" w:tentative="1">
      <w:start w:val="1"/>
      <w:numFmt w:val="bullet"/>
      <w:lvlText w:val=""/>
      <w:lvlJc w:val="left"/>
      <w:pPr>
        <w:tabs>
          <w:tab w:val="num" w:pos="5760"/>
        </w:tabs>
        <w:ind w:left="5760" w:hanging="360"/>
      </w:pPr>
      <w:rPr>
        <w:rFonts w:ascii="Symbol" w:hAnsi="Symbol" w:hint="default"/>
      </w:rPr>
    </w:lvl>
    <w:lvl w:ilvl="8" w:tplc="A2FC295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78A755F"/>
    <w:multiLevelType w:val="multilevel"/>
    <w:tmpl w:val="3502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15422"/>
    <w:multiLevelType w:val="multilevel"/>
    <w:tmpl w:val="A9A8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2"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5"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7"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8"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9" w15:restartNumberingAfterBreak="0">
    <w:nsid w:val="721147A7"/>
    <w:multiLevelType w:val="multilevel"/>
    <w:tmpl w:val="3166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7"/>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1"/>
  </w:num>
  <w:num w:numId="13">
    <w:abstractNumId w:val="20"/>
  </w:num>
  <w:num w:numId="14">
    <w:abstractNumId w:val="24"/>
  </w:num>
  <w:num w:numId="15">
    <w:abstractNumId w:val="28"/>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1"/>
  </w:num>
  <w:num w:numId="17">
    <w:abstractNumId w:val="13"/>
  </w:num>
  <w:num w:numId="18">
    <w:abstractNumId w:val="14"/>
  </w:num>
  <w:num w:numId="19">
    <w:abstractNumId w:val="28"/>
  </w:num>
  <w:num w:numId="20">
    <w:abstractNumId w:val="30"/>
  </w:num>
  <w:num w:numId="21">
    <w:abstractNumId w:val="22"/>
  </w:num>
  <w:num w:numId="22">
    <w:abstractNumId w:val="26"/>
  </w:num>
  <w:num w:numId="23">
    <w:abstractNumId w:val="19"/>
  </w:num>
  <w:num w:numId="24">
    <w:abstractNumId w:val="23"/>
  </w:num>
  <w:num w:numId="25">
    <w:abstractNumId w:val="11"/>
  </w:num>
  <w:num w:numId="26">
    <w:abstractNumId w:val="17"/>
  </w:num>
  <w:num w:numId="27">
    <w:abstractNumId w:val="12"/>
  </w:num>
  <w:num w:numId="28">
    <w:abstractNumId w:val="29"/>
  </w:num>
  <w:num w:numId="29">
    <w:abstractNumId w:val="15"/>
  </w:num>
  <w:num w:numId="30">
    <w:abstractNumId w:val="18"/>
  </w:num>
  <w:num w:numId="31">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99"/>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199"/>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3591"/>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DB0BC"/>
  <w15:docId w15:val="{6DE3BFA4-EF72-4BF6-B257-E1EDEC9A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174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234975168">
      <w:bodyDiv w:val="1"/>
      <w:marLeft w:val="0"/>
      <w:marRight w:val="0"/>
      <w:marTop w:val="0"/>
      <w:marBottom w:val="0"/>
      <w:divBdr>
        <w:top w:val="none" w:sz="0" w:space="0" w:color="auto"/>
        <w:left w:val="none" w:sz="0" w:space="0" w:color="auto"/>
        <w:bottom w:val="none" w:sz="0" w:space="0" w:color="auto"/>
        <w:right w:val="none" w:sz="0" w:space="0" w:color="auto"/>
      </w:divBdr>
      <w:divsChild>
        <w:div w:id="1270746173">
          <w:marLeft w:val="0"/>
          <w:marRight w:val="0"/>
          <w:marTop w:val="0"/>
          <w:marBottom w:val="0"/>
          <w:divBdr>
            <w:top w:val="none" w:sz="0" w:space="0" w:color="auto"/>
            <w:left w:val="none" w:sz="0" w:space="0" w:color="auto"/>
            <w:bottom w:val="none" w:sz="0" w:space="0" w:color="auto"/>
            <w:right w:val="none" w:sz="0" w:space="0" w:color="auto"/>
          </w:divBdr>
        </w:div>
        <w:div w:id="1062408200">
          <w:marLeft w:val="0"/>
          <w:marRight w:val="0"/>
          <w:marTop w:val="0"/>
          <w:marBottom w:val="0"/>
          <w:divBdr>
            <w:top w:val="none" w:sz="0" w:space="0" w:color="auto"/>
            <w:left w:val="none" w:sz="0" w:space="0" w:color="auto"/>
            <w:bottom w:val="none" w:sz="0" w:space="0" w:color="auto"/>
            <w:right w:val="none" w:sz="0" w:space="0" w:color="auto"/>
          </w:divBdr>
          <w:divsChild>
            <w:div w:id="387145143">
              <w:marLeft w:val="0"/>
              <w:marRight w:val="0"/>
              <w:marTop w:val="0"/>
              <w:marBottom w:val="0"/>
              <w:divBdr>
                <w:top w:val="none" w:sz="0" w:space="0" w:color="auto"/>
                <w:left w:val="none" w:sz="0" w:space="0" w:color="auto"/>
                <w:bottom w:val="none" w:sz="0" w:space="0" w:color="auto"/>
                <w:right w:val="none" w:sz="0" w:space="0" w:color="auto"/>
              </w:divBdr>
              <w:divsChild>
                <w:div w:id="217861943">
                  <w:marLeft w:val="0"/>
                  <w:marRight w:val="0"/>
                  <w:marTop w:val="0"/>
                  <w:marBottom w:val="0"/>
                  <w:divBdr>
                    <w:top w:val="none" w:sz="0" w:space="0" w:color="auto"/>
                    <w:left w:val="none" w:sz="0" w:space="0" w:color="auto"/>
                    <w:bottom w:val="none" w:sz="0" w:space="0" w:color="auto"/>
                    <w:right w:val="none" w:sz="0" w:space="0" w:color="auto"/>
                  </w:divBdr>
                </w:div>
                <w:div w:id="52697287">
                  <w:marLeft w:val="0"/>
                  <w:marRight w:val="0"/>
                  <w:marTop w:val="0"/>
                  <w:marBottom w:val="0"/>
                  <w:divBdr>
                    <w:top w:val="none" w:sz="0" w:space="0" w:color="auto"/>
                    <w:left w:val="none" w:sz="0" w:space="0" w:color="auto"/>
                    <w:bottom w:val="none" w:sz="0" w:space="0" w:color="auto"/>
                    <w:right w:val="none" w:sz="0" w:space="0" w:color="auto"/>
                  </w:divBdr>
                </w:div>
              </w:divsChild>
            </w:div>
            <w:div w:id="839542826">
              <w:marLeft w:val="0"/>
              <w:marRight w:val="0"/>
              <w:marTop w:val="0"/>
              <w:marBottom w:val="0"/>
              <w:divBdr>
                <w:top w:val="none" w:sz="0" w:space="0" w:color="auto"/>
                <w:left w:val="none" w:sz="0" w:space="0" w:color="auto"/>
                <w:bottom w:val="none" w:sz="0" w:space="0" w:color="auto"/>
                <w:right w:val="none" w:sz="0" w:space="0" w:color="auto"/>
              </w:divBdr>
              <w:divsChild>
                <w:div w:id="1495493317">
                  <w:marLeft w:val="0"/>
                  <w:marRight w:val="0"/>
                  <w:marTop w:val="0"/>
                  <w:marBottom w:val="0"/>
                  <w:divBdr>
                    <w:top w:val="none" w:sz="0" w:space="0" w:color="auto"/>
                    <w:left w:val="none" w:sz="0" w:space="0" w:color="auto"/>
                    <w:bottom w:val="none" w:sz="0" w:space="0" w:color="auto"/>
                    <w:right w:val="none" w:sz="0" w:space="0" w:color="auto"/>
                  </w:divBdr>
                </w:div>
                <w:div w:id="1238832114">
                  <w:marLeft w:val="0"/>
                  <w:marRight w:val="0"/>
                  <w:marTop w:val="0"/>
                  <w:marBottom w:val="0"/>
                  <w:divBdr>
                    <w:top w:val="none" w:sz="0" w:space="0" w:color="auto"/>
                    <w:left w:val="none" w:sz="0" w:space="0" w:color="auto"/>
                    <w:bottom w:val="none" w:sz="0" w:space="0" w:color="auto"/>
                    <w:right w:val="none" w:sz="0" w:space="0" w:color="auto"/>
                  </w:divBdr>
                  <w:divsChild>
                    <w:div w:id="17837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7568">
          <w:marLeft w:val="0"/>
          <w:marRight w:val="0"/>
          <w:marTop w:val="0"/>
          <w:marBottom w:val="0"/>
          <w:divBdr>
            <w:top w:val="none" w:sz="0" w:space="0" w:color="auto"/>
            <w:left w:val="none" w:sz="0" w:space="0" w:color="auto"/>
            <w:bottom w:val="none" w:sz="0" w:space="0" w:color="auto"/>
            <w:right w:val="none" w:sz="0" w:space="0" w:color="auto"/>
          </w:divBdr>
          <w:divsChild>
            <w:div w:id="1883441185">
              <w:marLeft w:val="0"/>
              <w:marRight w:val="0"/>
              <w:marTop w:val="0"/>
              <w:marBottom w:val="0"/>
              <w:divBdr>
                <w:top w:val="none" w:sz="0" w:space="0" w:color="auto"/>
                <w:left w:val="none" w:sz="0" w:space="0" w:color="auto"/>
                <w:bottom w:val="none" w:sz="0" w:space="0" w:color="auto"/>
                <w:right w:val="none" w:sz="0" w:space="0" w:color="auto"/>
              </w:divBdr>
            </w:div>
            <w:div w:id="178287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Texte.do?cidTexte=JORFTEXT000036739981" TargetMode="External"/><Relationship Id="rId18" Type="http://schemas.openxmlformats.org/officeDocument/2006/relationships/hyperlink" Target="https://www.legislation.cnav.fr/Documents/circulaire_cnav_2019_29_27112019.pdf" TargetMode="External"/><Relationship Id="rId26" Type="http://schemas.openxmlformats.org/officeDocument/2006/relationships/hyperlink" Target="https://www.legifrance.gouv.fr/affichCodeArticle.do%3bjsessionid=D61AA7C9E17C2231D96F9CE6A313CDBC.tplgfr35s_3?idArticle=LEGIARTI000036919644&amp;cidTexte=LEGITEXT000006073189" TargetMode="External"/><Relationship Id="rId39" Type="http://schemas.openxmlformats.org/officeDocument/2006/relationships/image" Target="media/image2.gif"/><Relationship Id="rId21" Type="http://schemas.openxmlformats.org/officeDocument/2006/relationships/hyperlink" Target="https://www.legifrance.gouv.fr/affichCodeArticle.do%3bjsessionid=E1CD34A2420D90E11858394AC863D28B.tplgfr31s_1?idArticle=LEGIARTI000025014727&amp;cidTexte=LEGITEXT000006073189" TargetMode="External"/><Relationship Id="rId34" Type="http://schemas.openxmlformats.org/officeDocument/2006/relationships/hyperlink" Target="https://www.legifrance.gouv.fr/affichCodeArticle.do%3bjsessionid=32ADF061AD221801540DC8F046AFDA8A.tplgfr29s_2?idArticle=LEGIARTI000006742204&amp;cidTexte=LEGITEXT000006073189" TargetMode="External"/><Relationship Id="rId42" Type="http://schemas.openxmlformats.org/officeDocument/2006/relationships/hyperlink" Target="https://www.legislation.cnav.fr/Complements/ex_delai.aspx" TargetMode="External"/><Relationship Id="rId47" Type="http://schemas.openxmlformats.org/officeDocument/2006/relationships/hyperlink" Target="http://www.legifrance.gouv.fr/affichTexte.do%3bjsessionid=55DD8688449283C42331DD2A8C3A3432.tpdjo15v_1?cidTexte=JORFTEXT000000505634&amp;categorieLien=id" TargetMode="External"/><Relationship Id="rId50" Type="http://schemas.openxmlformats.org/officeDocument/2006/relationships/hyperlink" Target="https://www.legislation.cnav.fr/Documents/circulaire_cnav_2019_29_27112019.pdf" TargetMode="External"/><Relationship Id="rId55" Type="http://schemas.openxmlformats.org/officeDocument/2006/relationships/hyperlink" Target="http://www.legifrance.gouv.fr/affichCodeArticle.do%3bjsessionid=55DD8688449283C42331DD2A8C3A3432.tpdjo15v_1?idArticle=LEGIARTI000023417165&amp;cidTexte=LEGITEXT000006073189" TargetMode="External"/><Relationship Id="rId63" Type="http://schemas.openxmlformats.org/officeDocument/2006/relationships/hyperlink" Target="http://www.legifrance.gouv.fr/affichCodeArticle.do%3bjsessionid=319D3040E58928DF077763402D20B85D.tpdjo15v_1?idArticle=LEGIARTI000021941637&amp;cidTexte=LEGITEXT000006073189" TargetMode="External"/><Relationship Id="rId68" Type="http://schemas.openxmlformats.org/officeDocument/2006/relationships/hyperlink" Target="http://www.legifrance.gouv.fr/affichCodeArticle.do%3bjsessionid=203A4520F56FC9C123DD28F34D175445.tpdjo15v_1?idArticle=LEGIARTI000024113200&amp;cidTexte=LEGITEXT000006073189" TargetMode="External"/><Relationship Id="rId76" Type="http://schemas.openxmlformats.org/officeDocument/2006/relationships/hyperlink" Target="https://www.legifrance.gouv.fr/affichCodeArticle.do%3bjsessionid=5D406C03049F25AF05E64F55C89AF8A2.tplgfr31s_3?idArticle=LEGIARTI000033459146&amp;cidTexte=LEGITEXT000006071164"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legislation.cnav.fr/Documents/circulaire_cnav_2019_29_27112019.pdf" TargetMode="External"/><Relationship Id="rId2" Type="http://schemas.openxmlformats.org/officeDocument/2006/relationships/numbering" Target="numbering.xml"/><Relationship Id="rId16" Type="http://schemas.openxmlformats.org/officeDocument/2006/relationships/hyperlink" Target="http://www.legifrance.gouv.fr/affichCodeArticle.do%3bjsessionid=203A4520F56FC9C123DD28F34D175445.tpdjo15v_1?idArticle=LEGIARTI000006748161&amp;cidTexte=LEGITEXT000006073189" TargetMode="External"/><Relationship Id="rId29" Type="http://schemas.openxmlformats.org/officeDocument/2006/relationships/hyperlink" Target="https://www.legislation.cnav.fr/Documents/circulaire_cnav_2020_31_08102020.pdf" TargetMode="External"/><Relationship Id="rId11" Type="http://schemas.openxmlformats.org/officeDocument/2006/relationships/hyperlink" Target="http://www.legifrance.gouv.fr/affichCodeArticle.do%3bjsessionid=203A4520F56FC9C123DD28F34D175445.tpdjo15v_1?idArticle=LEGIARTI000006748164&amp;cidTexte=LEGITEXT000006073189" TargetMode="External"/><Relationship Id="rId24" Type="http://schemas.openxmlformats.org/officeDocument/2006/relationships/hyperlink" Target="https://www.legifrance.gouv.fr/codes/article_lc/LEGIARTI000040340617/" TargetMode="External"/><Relationship Id="rId32" Type="http://schemas.openxmlformats.org/officeDocument/2006/relationships/hyperlink" Target="https://www.legislation.cnav.fr/Documents/circulaire_cnav_2019_29_27112019.pdf" TargetMode="External"/><Relationship Id="rId37" Type="http://schemas.openxmlformats.org/officeDocument/2006/relationships/hyperlink" Target="https://www.legislation.cnav.fr/Documents/circulaire_cnav_2017_27_21072017.pdf" TargetMode="External"/><Relationship Id="rId40" Type="http://schemas.openxmlformats.org/officeDocument/2006/relationships/hyperlink" Target="https://www.legifrance.gouv.fr/loda/id/JORFTEXT000038811663" TargetMode="External"/><Relationship Id="rId45" Type="http://schemas.openxmlformats.org/officeDocument/2006/relationships/hyperlink" Target="https://www.legislation.cnav.fr/Pages/texte.aspx?Nom=CR_CN_200226_16042002" TargetMode="External"/><Relationship Id="rId53" Type="http://schemas.openxmlformats.org/officeDocument/2006/relationships/hyperlink" Target="https://www.legislation.cnav.fr/Pages/texte.aspx?Nom=CR_MIN_2010214_23062010" TargetMode="External"/><Relationship Id="rId58" Type="http://schemas.openxmlformats.org/officeDocument/2006/relationships/hyperlink" Target="https://www.legislation.cnav.fr/Documents/circulaire_cnav_2019_29_27112019.pdf" TargetMode="External"/><Relationship Id="rId66" Type="http://schemas.openxmlformats.org/officeDocument/2006/relationships/hyperlink" Target="https://www.legislation.cnav.fr/Pages/texte.aspx?Nom=CR_MIN_40SS_05051954" TargetMode="External"/><Relationship Id="rId74" Type="http://schemas.openxmlformats.org/officeDocument/2006/relationships/hyperlink" Target="https://www.legislation.cnav.fr/Pages/expose.aspx?Nom=contestation_tgi_ex"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www.legifrance.gouv.fr/affichCodeArticle.do%3bjsessionid=DEB7398162B1DB81FA0DB0D0A21C127C.tpdjo14v_2?idArticle=LEGIARTI000021508145&amp;cidTexte=LEGITEXT000006073189" TargetMode="External"/><Relationship Id="rId82" Type="http://schemas.openxmlformats.org/officeDocument/2006/relationships/header" Target="header3.xml"/><Relationship Id="rId19" Type="http://schemas.openxmlformats.org/officeDocument/2006/relationships/hyperlink" Target="http://www.legifrance.gouv.fr/affichCodeArticle.do%3bjsessionid=203A4520F56FC9C123DD28F34D175445.tpdjo15v_1?idArticle=LEGIARTI000006748161&amp;cidTexte=LEGITEXT000006073189" TargetMode="External"/><Relationship Id="rId4" Type="http://schemas.openxmlformats.org/officeDocument/2006/relationships/settings" Target="settings.xml"/><Relationship Id="rId9" Type="http://schemas.openxmlformats.org/officeDocument/2006/relationships/hyperlink" Target="https://www.legifrance.gouv.fr/affichCodeArticle.do%3bjsessionid=87D4FC98C313882A1EF307862B81F18A.tplgfr37s_1?idArticle=LEGIARTI000033458859&amp;cidTexte=LEGITEXT000006073189" TargetMode="External"/><Relationship Id="rId14" Type="http://schemas.openxmlformats.org/officeDocument/2006/relationships/hyperlink" Target="https://www.legislation.cnav.fr/Lexique/action_contentieuse_lex.aspx" TargetMode="External"/><Relationship Id="rId22" Type="http://schemas.openxmlformats.org/officeDocument/2006/relationships/hyperlink" Target="https://www.legislation.cnav.fr/Documents/circulaire_cnav_2019_29_27112019.pdf" TargetMode="External"/><Relationship Id="rId27" Type="http://schemas.openxmlformats.org/officeDocument/2006/relationships/hyperlink" Target="https://www.legislation.cnav.fr/Pages/texte.aspx?Nom=CR_CN_10488_31081988" TargetMode="External"/><Relationship Id="rId30" Type="http://schemas.openxmlformats.org/officeDocument/2006/relationships/hyperlink" Target="https://www.legifrance.gouv.fr/loda/id/JORFTEXT000036339090?tab_selection=all&amp;searchField=ALL&amp;query=loi+30+d%C3%A9cembre+2017&amp;page=1&amp;init=true" TargetMode="External"/><Relationship Id="rId35" Type="http://schemas.openxmlformats.org/officeDocument/2006/relationships/hyperlink" Target="https://www.legislation.cnav.fr/Documents/circulaire_cnav_2019_29_27112019.pdf" TargetMode="External"/><Relationship Id="rId43" Type="http://schemas.openxmlformats.org/officeDocument/2006/relationships/hyperlink" Target="http://www.legifrance.gouv.fr/affichCodeArticle.do%3bjsessionid=203A4520F56FC9C123DD28F34D175445.tpdjo15v_1?idArticle=LEGIARTI000006748161&amp;cidTexte=LEGITEXT000006073189" TargetMode="External"/><Relationship Id="rId48" Type="http://schemas.openxmlformats.org/officeDocument/2006/relationships/hyperlink" Target="https://www.legislation.cnav.fr/Pages/texte.aspx?Nom=Circulaire_cnav_2012_63_13092012" TargetMode="External"/><Relationship Id="rId56" Type="http://schemas.openxmlformats.org/officeDocument/2006/relationships/hyperlink" Target="https://www.legislation.cnav.fr/Pages/texte.aspx?Nom=CR_MIN_9253_04061992" TargetMode="External"/><Relationship Id="rId64" Type="http://schemas.openxmlformats.org/officeDocument/2006/relationships/hyperlink" Target="http://www.legifrance.gouv.fr/affichCodeArticle.do%3bjsessionid=319D3040E58928DF077763402D20B85D.tpdjo15v_1?idArticle=LEGIARTI000021508238&amp;cidTexte=LEGITEXT000006073189" TargetMode="External"/><Relationship Id="rId69" Type="http://schemas.openxmlformats.org/officeDocument/2006/relationships/hyperlink" Target="http://www.legifrance.gouv.fr/affichCodeArticle.do%3bjsessionid=55DD8688449283C42331DD2A8C3A3432.tpdjo15v_1?idArticle=LEGIARTI000023417165&amp;cidTexte=LEGITEXT000006073189" TargetMode="External"/><Relationship Id="rId77" Type="http://schemas.openxmlformats.org/officeDocument/2006/relationships/hyperlink" Target="https://www.legislation.cnav.fr/Documents/circulaire_cnav_2018_30_20122018.pdf" TargetMode="External"/><Relationship Id="rId8" Type="http://schemas.openxmlformats.org/officeDocument/2006/relationships/hyperlink" Target="https://www.legislation.cnav.fr/Pages/expose.aspx?Nom=contestation_cra_ex" TargetMode="External"/><Relationship Id="rId51" Type="http://schemas.openxmlformats.org/officeDocument/2006/relationships/hyperlink" Target="https://www.legifrance.gouv.fr/affichCodeArticle.do%3bjsessionid=BD6DB393DFCF7C45921D3ECF4BB90A8D.tplgfr25s_3?idArticle=LEGIARTI000037544078&amp;cidTexte=LEGITEXT000006073189" TargetMode="External"/><Relationship Id="rId72" Type="http://schemas.openxmlformats.org/officeDocument/2006/relationships/hyperlink" Target="http://www.legifrance.gouv.fr/affichCodeArticle.do%3bjsessionid=55DD8688449283C42331DD2A8C3A3432.tpdjo15v_1?idArticle=LEGIARTI000023417165&amp;cidTexte=LEGITEXT000006073189"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egifrance.gouv.fr/affichCodeArticle.do%3bjsessionid=203A4520F56FC9C123DD28F34D175445.tpdjo15v_1?idArticle=LEGIARTI000024113200&amp;cidTexte=LEGITEXT000006073189" TargetMode="External"/><Relationship Id="rId17" Type="http://schemas.openxmlformats.org/officeDocument/2006/relationships/hyperlink" Target="http://www.legifrance.gouv.fr/affichCodeArticle.do%3bjsessionid=297807DF09032946875E2E33C99675FE.tpdila24v_2?idArticle=LEGIARTI000006753902&amp;cidTexte=LEGITEXT000006073189" TargetMode="External"/><Relationship Id="rId25" Type="http://schemas.openxmlformats.org/officeDocument/2006/relationships/hyperlink" Target="https://www.legifrance.gouv.fr/affichCodeArticle.do%3bjsessionid=32ADF061AD221801540DC8F046AFDA8A.tplgfr29s_2?idArticle=LEGIARTI000006742204&amp;cidTexte=LEGITEXT000006073189" TargetMode="External"/><Relationship Id="rId33" Type="http://schemas.openxmlformats.org/officeDocument/2006/relationships/hyperlink" Target="https://www.legifrance.gouv.fr/affichCodeArticle.do%3bjsessionid=47ABFDDB60DECC0AA54722B795EFEE41.tplgfr29s_2?idArticle=LEGIARTI000025014727&amp;cidTexte=LEGITEXT000006073189" TargetMode="External"/><Relationship Id="rId38" Type="http://schemas.openxmlformats.org/officeDocument/2006/relationships/hyperlink" Target="https://www.legislation.cnav.fr/Documents/circulaire_cnav_2019_29_27112019.pdf" TargetMode="External"/><Relationship Id="rId46" Type="http://schemas.openxmlformats.org/officeDocument/2006/relationships/hyperlink" Target="https://www.legislation.cnav.fr/Pages/texte.aspx?Nom=CR_CN_200226_16042002" TargetMode="External"/><Relationship Id="rId59" Type="http://schemas.openxmlformats.org/officeDocument/2006/relationships/hyperlink" Target="http://www.legifrance.gouv.fr/affichCodeArticle.do%3bjsessionid=319D3040E58928DF077763402D20B85D.tpdjo15v_1?idArticle=LEGIARTI000021941637&amp;cidTexte=LEGITEXT000006073189" TargetMode="External"/><Relationship Id="rId67" Type="http://schemas.openxmlformats.org/officeDocument/2006/relationships/hyperlink" Target="https://www.legislation.cnav.fr/Pages/texte.aspx?Nom=CR_MIN_99348_16061999" TargetMode="External"/><Relationship Id="rId20" Type="http://schemas.openxmlformats.org/officeDocument/2006/relationships/hyperlink" Target="http://www.legifrance.gouv.fr/affichCodeArticle.do%3bjsessionid=203A4520F56FC9C123DD28F34D175445.tpdjo15v_1?idArticle=LEGIARTI000006753902&amp;cidTexte=LEGITEXT000006073189" TargetMode="External"/><Relationship Id="rId41" Type="http://schemas.openxmlformats.org/officeDocument/2006/relationships/hyperlink" Target="https://www.legifrance.gouv.fr/loda/id/JORFTEXT000043280035" TargetMode="External"/><Relationship Id="rId54" Type="http://schemas.openxmlformats.org/officeDocument/2006/relationships/hyperlink" Target="http://www.legifrance.gouv.fr/affichCodeArticle.do%3bjsessionid=55DD8688449283C42331DD2A8C3A3432.tpdjo15v_1?idArticle=LEGIARTI000006748168&amp;cidTexte=LEGITEXT000006073189" TargetMode="External"/><Relationship Id="rId62" Type="http://schemas.openxmlformats.org/officeDocument/2006/relationships/hyperlink" Target="http://www.legifrance.gouv.fr/affichTexte.do%3bjsessionid=D03C488F6D1D51A44F1B7986671B68AC.tpdjo17v_1?cidTexte=LEGITEXT000021298649&amp;dateTexte=vig" TargetMode="External"/><Relationship Id="rId70" Type="http://schemas.openxmlformats.org/officeDocument/2006/relationships/hyperlink" Target="https://www.legifrance.gouv.fr/affichCodeArticle.do%3bjsessionid=5D406C03049F25AF05E64F55C89AF8A2.tplgfr31s_3?idArticle=LEGIARTI000033459146&amp;cidTexte=LEGITEXT000006071164" TargetMode="External"/><Relationship Id="rId75" Type="http://schemas.openxmlformats.org/officeDocument/2006/relationships/hyperlink" Target="https://www.legifrance.gouv.fr/affichTexte.do?cidTexte=JORFTEXT000037538405&amp;fastPos=1&amp;fastReqId=1214079609&amp;categorieLien=id&amp;oldAction=rechTexte"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france.gouv.fr/affichCodeArticle.do%3bjsessionid=494B8832818CAD9A07F263E51771BC69.tplgfr24s_2?idArticle=LEGIARTI000036919644&amp;cidTexte=LEGITEXT000006073189" TargetMode="External"/><Relationship Id="rId23" Type="http://schemas.openxmlformats.org/officeDocument/2006/relationships/hyperlink" Target="https://www.legislation.cnav.fr/Pages/expose.aspx?Nom=contestation_contentieux_technique_cmra_es" TargetMode="External"/><Relationship Id="rId28" Type="http://schemas.openxmlformats.org/officeDocument/2006/relationships/hyperlink" Target="https://www.legislation.cnav.fr/Documents/circulaire_cnav_2019_29_27112019.pdf" TargetMode="External"/><Relationship Id="rId36" Type="http://schemas.openxmlformats.org/officeDocument/2006/relationships/hyperlink" Target="https://www.legislation.cnav.fr/Pages/expose.aspx?Nom=lura_ex" TargetMode="External"/><Relationship Id="rId49" Type="http://schemas.openxmlformats.org/officeDocument/2006/relationships/hyperlink" Target="https://www.legislation.cnav.fr/Documents/circulaire_cnav_2021_02_12012021.pdf" TargetMode="External"/><Relationship Id="rId57" Type="http://schemas.openxmlformats.org/officeDocument/2006/relationships/hyperlink" Target="http://www.legifrance.gouv.fr/affichCodeArticle.do%3bjsessionid=E2791C548E7B818920DE0F7F7946B912.tpdjo12v_1?idArticle=LEGIARTI000023417165&amp;cidTexte=LEGITEXT000006073189" TargetMode="External"/><Relationship Id="rId10" Type="http://schemas.openxmlformats.org/officeDocument/2006/relationships/hyperlink" Target="http://www.legifrance.gouv.fr/affichCodeArticle.do%3bjsessionid=203A4520F56FC9C123DD28F34D175445.tpdjo15v_1?idArticle=LEGIARTI000006748161&amp;cidTexte=LEGITEXT000006073189" TargetMode="External"/><Relationship Id="rId31" Type="http://schemas.openxmlformats.org/officeDocument/2006/relationships/hyperlink" Target="https://www.legifrance.gouv.fr/affichCodeArticle.do%3bjsessionid=0798E3F0D1944F82760FAB7718AA60DF.tplgfr22s_1?idArticle=LEGIARTI000041404342&amp;cidTexte=LEGITEXT000006073189" TargetMode="External"/><Relationship Id="rId44" Type="http://schemas.openxmlformats.org/officeDocument/2006/relationships/hyperlink" Target="https://www.legifrance.gouv.fr/affichCodeArticle.do%3bjsessionid=4C87444404820A631DB8FF6A02413A65.tplgfr24s_1?idArticle=LEGIARTI000037595775&amp;cidTexte=LEGITEXT000006073189" TargetMode="External"/><Relationship Id="rId52" Type="http://schemas.openxmlformats.org/officeDocument/2006/relationships/hyperlink" Target="https://www.legislation.cnav.fr/Documents/circulaire_cnav_2019_29_27112019.pdf" TargetMode="External"/><Relationship Id="rId60" Type="http://schemas.openxmlformats.org/officeDocument/2006/relationships/hyperlink" Target="http://www.legifrance.gouv.fr/affichCodeArticle.do%3bjsessionid=319D3040E58928DF077763402D20B85D.tpdjo15v_1?idArticle=LEGIARTI000021508199&amp;cidTexte=LEGITEXT000006073189" TargetMode="External"/><Relationship Id="rId65" Type="http://schemas.openxmlformats.org/officeDocument/2006/relationships/hyperlink" Target="https://www.legislation.cnav.fr/Pages/texte.aspx?Nom=CR_MIN_99348_16061999" TargetMode="External"/><Relationship Id="rId73" Type="http://schemas.openxmlformats.org/officeDocument/2006/relationships/hyperlink" Target="http://circulaires.legifrance.gouv.fr/pdf/2020/03/cir_44946.pdf" TargetMode="External"/><Relationship Id="rId78" Type="http://schemas.openxmlformats.org/officeDocument/2006/relationships/header" Target="header1.xml"/><Relationship Id="rId81"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6</TotalTime>
  <Pages>3</Pages>
  <Words>3764</Words>
  <Characters>20708</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24424</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2021-05-31T00:22:00Z</dcterms:created>
  <dcterms:modified xsi:type="dcterms:W3CDTF">2021-05-31T00:28:00Z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