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3CEB8" w14:textId="77777777" w:rsidR="00000000" w:rsidRDefault="00100FA0" w:rsidP="00823423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Cour de cassation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BF93F2E" w14:textId="77777777" w:rsidR="00000000" w:rsidRDefault="00100FA0" w:rsidP="00823423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chambre sociale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11DE641" w14:textId="77777777" w:rsidR="00000000" w:rsidRDefault="00100FA0" w:rsidP="00823423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Audience publique du 16 novembre 1995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9AB88D3" w14:textId="77777777" w:rsidR="00000000" w:rsidRDefault="00100FA0" w:rsidP="00823423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N° de pourvoi: 94-11079 </w:t>
      </w:r>
    </w:p>
    <w:p w14:paraId="5341E094" w14:textId="77777777" w:rsidR="00000000" w:rsidRDefault="00100FA0" w:rsidP="00823423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Publié au bulletin</w:t>
      </w:r>
    </w:p>
    <w:p w14:paraId="4DC0B74C" w14:textId="77777777" w:rsidR="00000000" w:rsidRDefault="00100FA0" w:rsidP="00823423">
      <w:pPr>
        <w:widowControl w:val="0"/>
        <w:autoSpaceDE w:val="0"/>
        <w:autoSpaceDN w:val="0"/>
        <w:adjustRightInd w:val="0"/>
        <w:spacing w:before="120"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Rejet.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67F1B4E" w14:textId="77777777" w:rsidR="00000000" w:rsidRDefault="00100FA0" w:rsidP="00823423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Président : M. Gélineau-Larrivet ., président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E099B74" w14:textId="77777777" w:rsidR="00000000" w:rsidRDefault="00100FA0" w:rsidP="00823423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Rapporteur : M. Ollier., conseiller apporteur</w:t>
      </w:r>
    </w:p>
    <w:p w14:paraId="2E63507C" w14:textId="77777777" w:rsidR="00000000" w:rsidRDefault="00100FA0" w:rsidP="00823423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Avocat général : M. de Caigny., avocat général</w:t>
      </w:r>
    </w:p>
    <w:p w14:paraId="0D0BE6BF" w14:textId="77777777" w:rsidR="00000000" w:rsidRDefault="00100FA0" w:rsidP="00823423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Avocats : MM. Hennuyer, Vincent., avocat(s)</w:t>
      </w:r>
    </w:p>
    <w:p w14:paraId="281FB2D5" w14:textId="77777777" w:rsidR="00000000" w:rsidRDefault="00100FA0" w:rsidP="00823423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REPUBLIQUE FRANCAISE</w:t>
      </w:r>
    </w:p>
    <w:p w14:paraId="502C3F55" w14:textId="77777777" w:rsidR="00000000" w:rsidRDefault="00100FA0" w:rsidP="00823423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AU NOM DU PEUPLE FRANCAIS</w:t>
      </w:r>
    </w:p>
    <w:p w14:paraId="5E939288" w14:textId="77777777" w:rsidR="00000000" w:rsidRDefault="00100FA0" w:rsidP="0082342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Attendu, selon les énonciations des juges du fond, que la Caisse de mutualité sociale agricole de l’Allier a délivré à M. et Mme X..., le 30 novembre 1991, une contrainte de 12 853 francs pour paiement des cotisations des années</w:t>
      </w:r>
      <w:r>
        <w:rPr>
          <w:rFonts w:ascii="Arial" w:hAnsi="Arial" w:cs="Arial"/>
          <w:sz w:val="24"/>
          <w:szCs w:val="24"/>
        </w:rPr>
        <w:t xml:space="preserve"> 1987 à 1990 afférentes à des terres dont ils étaient propriétaires en indivision ; que M. et Mme X..., soutenant que ces terres n’étaient pas exploitées, ont formé opposition à la contrainte ; que le tribunal des affaires de sécurité sociale, rejetant leu</w:t>
      </w:r>
      <w:r>
        <w:rPr>
          <w:rFonts w:ascii="Arial" w:hAnsi="Arial" w:cs="Arial"/>
          <w:sz w:val="24"/>
          <w:szCs w:val="24"/>
        </w:rPr>
        <w:t>r demande de report de la date d’audience, et constatant qu’ils n’opposaient aucun élément au titre exécutoire délivré par la Caisse, les a déboutés de leur opposition et condamnés à payer à la Caisse de mutualité sociale agricole la somme objet de la cont</w:t>
      </w:r>
      <w:r>
        <w:rPr>
          <w:rFonts w:ascii="Arial" w:hAnsi="Arial" w:cs="Arial"/>
          <w:sz w:val="24"/>
          <w:szCs w:val="24"/>
        </w:rPr>
        <w:t>rainte ;</w:t>
      </w:r>
    </w:p>
    <w:p w14:paraId="6E0423D7" w14:textId="77777777" w:rsidR="00000000" w:rsidRDefault="00100FA0" w:rsidP="0082342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Sur le deuxième moyen, pris en sa seconde branche : (sans intérêt) ;</w:t>
      </w:r>
    </w:p>
    <w:p w14:paraId="49D66B59" w14:textId="77777777" w:rsidR="00000000" w:rsidRDefault="00100FA0" w:rsidP="0082342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Sur le premier moyen, pris en ses deux branches, et sur le deuxième moyen, pris en sa première branche :</w:t>
      </w:r>
    </w:p>
    <w:p w14:paraId="7769A5A2" w14:textId="77777777" w:rsidR="00000000" w:rsidRDefault="00100FA0" w:rsidP="0082342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Attendu que M. et Mme X... font grief au jugement attaqué d’a</w:t>
      </w:r>
      <w:r>
        <w:rPr>
          <w:rFonts w:ascii="Arial" w:hAnsi="Arial" w:cs="Arial"/>
          <w:sz w:val="24"/>
          <w:szCs w:val="24"/>
        </w:rPr>
        <w:t>voir statué ainsi qu’il l’a fait, alors, selon le moyen, d’une part, qu’en cas d’opposition à contrainte, c’est l’auteur de la contrainte qui a la qualité de demandeur et qui doit donc apporter la preuve du bien-fondé de la contrainte, et que, dans ces con</w:t>
      </w:r>
      <w:r>
        <w:rPr>
          <w:rFonts w:ascii="Arial" w:hAnsi="Arial" w:cs="Arial"/>
          <w:sz w:val="24"/>
          <w:szCs w:val="24"/>
        </w:rPr>
        <w:t>ditions, le Tribunal, en se bornant à déclarer qu’aucun élément n’était opposé par l’indivision X... au titre exécutoire délivré par la Caisse, a inversé la charge de la preuve et violé l’article 1315 du Code civil ; alors, d’autre part, qu’en se bornant à</w:t>
      </w:r>
      <w:r>
        <w:rPr>
          <w:rFonts w:ascii="Arial" w:hAnsi="Arial" w:cs="Arial"/>
          <w:sz w:val="24"/>
          <w:szCs w:val="24"/>
        </w:rPr>
        <w:t xml:space="preserve"> relever l’absence d’élément de preuve chez le défendeur pour en conclure que la demande était fondée, le tribunal a entaché sa décision d’un défaut de motifs et violé l’article 455 du nouveau Code de procédure civile ; et alors, enfin, qu’il ressort des p</w:t>
      </w:r>
      <w:r>
        <w:rPr>
          <w:rFonts w:ascii="Arial" w:hAnsi="Arial" w:cs="Arial"/>
          <w:sz w:val="24"/>
          <w:szCs w:val="24"/>
        </w:rPr>
        <w:t>ropres constatations du jugement que l’indivision X... avait fait opposition à la contrainte en soutenant que les terres visées par les cotisations réclamées n’étaient pas exploitées mais mises à la disposition de chasseurs qui en assuraient la gestion ; q</w:t>
      </w:r>
      <w:r>
        <w:rPr>
          <w:rFonts w:ascii="Arial" w:hAnsi="Arial" w:cs="Arial"/>
          <w:sz w:val="24"/>
          <w:szCs w:val="24"/>
        </w:rPr>
        <w:t>ue le jugement attaqué a ainsi méconnu ses propres constatations sans en tirer les conséquences légales, violant ainsi l’article 455 du nouveau Code de procédure civile ;</w:t>
      </w:r>
    </w:p>
    <w:p w14:paraId="61AF5AAC" w14:textId="77777777" w:rsidR="00000000" w:rsidRDefault="00100FA0" w:rsidP="0082342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Mais attendu qu’il appartenait aux époux X..., opposants à la contrainte, de rapp</w:t>
      </w:r>
      <w:r>
        <w:rPr>
          <w:rFonts w:ascii="Arial" w:hAnsi="Arial" w:cs="Arial"/>
          <w:sz w:val="24"/>
          <w:szCs w:val="24"/>
        </w:rPr>
        <w:t xml:space="preserve">orter la preuve des éléments qu’ils présentaient au soutien de leur opposition ; que, le Tribunal ayant constaté qu’ils ne produisaient aucune justification, le grief ne peut qu’être écarté ; </w:t>
      </w:r>
    </w:p>
    <w:p w14:paraId="62C24AB7" w14:textId="77777777" w:rsidR="00000000" w:rsidRDefault="00100FA0" w:rsidP="0082342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Sur le troisième moyen :</w:t>
      </w:r>
    </w:p>
    <w:p w14:paraId="2F14A47E" w14:textId="77777777" w:rsidR="00000000" w:rsidRDefault="00100FA0" w:rsidP="0082342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Attendu que M. et Mme X... fon</w:t>
      </w:r>
      <w:r>
        <w:rPr>
          <w:rFonts w:ascii="Arial" w:hAnsi="Arial" w:cs="Arial"/>
          <w:sz w:val="24"/>
          <w:szCs w:val="24"/>
        </w:rPr>
        <w:t xml:space="preserve">t enfin grief au jugement attaqué d’avoir validé la contrainte alors, selon le moyen, qu’en l’absence d’indication sur les mises en demeure qui ont </w:t>
      </w:r>
      <w:r>
        <w:rPr>
          <w:rFonts w:ascii="Arial" w:hAnsi="Arial" w:cs="Arial"/>
          <w:sz w:val="24"/>
          <w:szCs w:val="24"/>
        </w:rPr>
        <w:lastRenderedPageBreak/>
        <w:t>précédé celle-ci, lesquelles ne pouvaient concerner que les cotisations exigibles dans les 3 ans qui précède</w:t>
      </w:r>
      <w:r>
        <w:rPr>
          <w:rFonts w:ascii="Arial" w:hAnsi="Arial" w:cs="Arial"/>
          <w:sz w:val="24"/>
          <w:szCs w:val="24"/>
        </w:rPr>
        <w:t>nt leur envoi, la Cour de Cassation n’est pas mise en mesure d’exercer son contrôle quant à l’application de l’article 1143-3 du Code rural et qu’ainsi le jugement attaqué a violé l’article 455 du nouveau Code de procédure civile ;</w:t>
      </w:r>
    </w:p>
    <w:p w14:paraId="20EA5544" w14:textId="77777777" w:rsidR="00000000" w:rsidRDefault="00100FA0" w:rsidP="0082342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Mais attendu que les</w:t>
      </w:r>
      <w:r>
        <w:rPr>
          <w:rFonts w:ascii="Arial" w:hAnsi="Arial" w:cs="Arial"/>
          <w:sz w:val="24"/>
          <w:szCs w:val="24"/>
        </w:rPr>
        <w:t xml:space="preserve"> juges du fond, à qui les dispositions de l’article L. 142-9 du Code de la sécurité sociale ne faisaient pas obligation de soulever d’office le moyen tiré de la prescription, n’avaient pas à rechercher si les conditions de celle-ci étaient réunies ;</w:t>
      </w:r>
    </w:p>
    <w:p w14:paraId="4B8E9894" w14:textId="77777777" w:rsidR="00000000" w:rsidRDefault="00100FA0" w:rsidP="0082342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le moyen est donc inopérant ;</w:t>
      </w:r>
    </w:p>
    <w:p w14:paraId="5EC9966C" w14:textId="77777777" w:rsidR="00000000" w:rsidRDefault="00100FA0" w:rsidP="0082342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 CES MOTIFS :</w:t>
      </w:r>
    </w:p>
    <w:p w14:paraId="63760E0B" w14:textId="77777777" w:rsidR="00000000" w:rsidRDefault="00100FA0" w:rsidP="0082342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REJETTE le pourvoi.</w:t>
      </w:r>
    </w:p>
    <w:p w14:paraId="4B09A51E" w14:textId="77777777" w:rsidR="00000000" w:rsidRDefault="00100FA0" w:rsidP="0082342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Publication : </w:t>
      </w:r>
      <w:r>
        <w:rPr>
          <w:rFonts w:ascii="Arial" w:hAnsi="Arial" w:cs="Arial"/>
          <w:sz w:val="24"/>
          <w:szCs w:val="24"/>
        </w:rPr>
        <w:t>Bulletin 1995 V N° 302 p. 217</w:t>
      </w:r>
    </w:p>
    <w:p w14:paraId="21B0137C" w14:textId="77777777" w:rsidR="00000000" w:rsidRDefault="00100FA0" w:rsidP="0082342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Décision attaquée : </w:t>
      </w:r>
      <w:r>
        <w:rPr>
          <w:rFonts w:ascii="Arial" w:hAnsi="Arial" w:cs="Arial"/>
          <w:sz w:val="24"/>
          <w:szCs w:val="24"/>
        </w:rPr>
        <w:t>Tribunal des affaires de sécurité sociale de Moulins , du 10 décembre 1993</w:t>
      </w:r>
    </w:p>
    <w:p w14:paraId="5431CB3C" w14:textId="77777777" w:rsidR="00000000" w:rsidRDefault="00100FA0" w:rsidP="0082342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Titrages et résumés : </w:t>
      </w:r>
      <w:r>
        <w:rPr>
          <w:rFonts w:ascii="Arial" w:hAnsi="Arial" w:cs="Arial"/>
          <w:sz w:val="24"/>
          <w:szCs w:val="24"/>
        </w:rPr>
        <w:t>1° S</w:t>
      </w:r>
      <w:r>
        <w:rPr>
          <w:rFonts w:ascii="Arial" w:hAnsi="Arial" w:cs="Arial"/>
          <w:sz w:val="24"/>
          <w:szCs w:val="24"/>
        </w:rPr>
        <w:t xml:space="preserve">ECURITE SOCIALE - Cotisations - Recouvrement - Contrainte - Opposition - Motifs - Preuve - Charge. </w:t>
      </w:r>
    </w:p>
    <w:p w14:paraId="02E2FC78" w14:textId="77777777" w:rsidR="00000000" w:rsidRDefault="00100FA0" w:rsidP="0082342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1° C’est aux opposants à la contrainte délivrée par l’organisme social qu’il appartient de rapporter la preuve des éléments qu’ils présentent au soutien</w:t>
      </w:r>
      <w:r>
        <w:rPr>
          <w:rFonts w:ascii="Arial" w:hAnsi="Arial" w:cs="Arial"/>
          <w:sz w:val="24"/>
          <w:szCs w:val="24"/>
        </w:rPr>
        <w:t xml:space="preserve"> de leur opposition. </w:t>
      </w:r>
    </w:p>
    <w:p w14:paraId="5B5B824C" w14:textId="77777777" w:rsidR="00000000" w:rsidRDefault="00100FA0" w:rsidP="0082342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2° SECURITE SOCIALE, CONTENTIEUX - Contentieux général - Procédure - Fin de non-recevoir - Fin de non-recevoir soulevée d’office - Prescription - Obligation (non). </w:t>
      </w:r>
    </w:p>
    <w:p w14:paraId="3C55C674" w14:textId="77777777" w:rsidR="00000000" w:rsidRDefault="00100FA0" w:rsidP="0082342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2° Les dispositions de l’article L. 142-9 du Code de la sécur</w:t>
      </w:r>
      <w:r>
        <w:rPr>
          <w:rFonts w:ascii="Arial" w:hAnsi="Arial" w:cs="Arial"/>
          <w:sz w:val="24"/>
          <w:szCs w:val="24"/>
        </w:rPr>
        <w:t xml:space="preserve">ité sociale ne font pas obligation aux tribunaux des affaires de sécurité sociale de soulever d’office le moyen tiré de la prescription dans les litiges qu’ils ont à connaître. </w:t>
      </w:r>
    </w:p>
    <w:p w14:paraId="3DCC9B4D" w14:textId="77777777" w:rsidR="00000000" w:rsidRDefault="00100FA0" w:rsidP="0082342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2° PRESCRIPTION CIVILE - Fin de non-recevoir - Fin de non-recevoir soulevée d’office - Applications diverses - Sécurité sociale - Prescription - Article L.142-9 du Code de la sécurité sociale - Obligation (non) 2° POUVOIRS DES JUGES - Applications diverses</w:t>
      </w:r>
      <w:r>
        <w:rPr>
          <w:rFonts w:ascii="Arial" w:hAnsi="Arial" w:cs="Arial"/>
          <w:sz w:val="24"/>
          <w:szCs w:val="24"/>
        </w:rPr>
        <w:t xml:space="preserve"> - Procédure civile - Moyen - Moyen soulevé d’office - Sécurité sociale - Prescription - Article L. 142-9 du Code de la sécurité sociale - Obligation (non) </w:t>
      </w:r>
    </w:p>
    <w:p w14:paraId="108BE417" w14:textId="77777777" w:rsidR="00000000" w:rsidRDefault="00100FA0" w:rsidP="0082342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Précédents jurisprudentiels : </w:t>
      </w:r>
      <w:r>
        <w:rPr>
          <w:rFonts w:ascii="Arial" w:hAnsi="Arial" w:cs="Arial"/>
          <w:sz w:val="24"/>
          <w:szCs w:val="24"/>
        </w:rPr>
        <w:t xml:space="preserve">A RAPPROCHER : (2°). Chambre sociale, 1994-03-17, Bulletin 1994, </w:t>
      </w:r>
      <w:r>
        <w:rPr>
          <w:rFonts w:ascii="Arial" w:hAnsi="Arial" w:cs="Arial"/>
          <w:sz w:val="24"/>
          <w:szCs w:val="24"/>
        </w:rPr>
        <w:t>V, n° 102, p. 71 (cassation).</w:t>
      </w:r>
    </w:p>
    <w:p w14:paraId="51BCB178" w14:textId="77777777" w:rsidR="00000000" w:rsidRDefault="00100FA0" w:rsidP="0082342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Textes appliqués : </w:t>
      </w:r>
    </w:p>
    <w:p w14:paraId="4EF12AD3" w14:textId="77777777" w:rsidR="00000000" w:rsidRDefault="00100FA0" w:rsidP="0082342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2° :</w:t>
      </w:r>
    </w:p>
    <w:p w14:paraId="1504BF84" w14:textId="77777777" w:rsidR="00000000" w:rsidRDefault="00100FA0" w:rsidP="0082342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Code de la sécurité sociale L142-9</w:t>
      </w:r>
    </w:p>
    <w:p w14:paraId="7233DCC7" w14:textId="77777777" w:rsidR="00100FA0" w:rsidRDefault="00100FA0" w:rsidP="0082342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100FA0">
      <w:pgSz w:w="11905" w:h="16837"/>
      <w:pgMar w:top="113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9ED3027"/>
    <w:multiLevelType w:val="singleLevel"/>
    <w:tmpl w:val="73F150C3"/>
    <w:lvl w:ilvl="0">
      <w:start w:val="1"/>
      <w:numFmt w:val="bullet"/>
      <w:lvlText w:val="·"/>
      <w:lvlJc w:val="left"/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7901"/>
    <w:rsid w:val="00100FA0"/>
    <w:rsid w:val="00823423"/>
    <w:rsid w:val="00C6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CA4DA5"/>
  <w14:defaultImageDpi w14:val="0"/>
  <w15:docId w15:val="{BC97FCC3-7298-4EAC-A8BB-E93DA80D1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790</Words>
  <Characters>4347</Characters>
  <Application>Microsoft Office Word</Application>
  <DocSecurity>0</DocSecurity>
  <Lines>36</Lines>
  <Paragraphs>10</Paragraphs>
  <ScaleCrop>false</ScaleCrop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AUVINET</dc:creator>
  <cp:keywords/>
  <dc:description/>
  <cp:lastModifiedBy>Joseph AUVINET</cp:lastModifiedBy>
  <cp:revision>3</cp:revision>
  <dcterms:created xsi:type="dcterms:W3CDTF">2021-09-22T19:29:00Z</dcterms:created>
  <dcterms:modified xsi:type="dcterms:W3CDTF">2021-09-22T19:31:00Z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forCreatedThisOn">
    <vt:lpwstr>Wed Sep 04 22:23:02 CEST 2013</vt:lpwstr>
  </property>
  <property fmtid="{D5CDD505-2E9C-101B-9397-08002B2CF9AE}" pid="3" name="jforVersion">
    <vt:lpwstr>jfor V0.7.2rc1 - see http://www.jfor.org</vt:lpwstr>
  </property>
</Properties>
</file>