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5DA15" w14:textId="00407F8A" w:rsidR="0010043A" w:rsidRPr="0010043A" w:rsidRDefault="0010043A" w:rsidP="0010043A">
      <w:pPr>
        <w:spacing w:before="120" w:after="0" w:line="240" w:lineRule="auto"/>
        <w:jc w:val="both"/>
        <w:outlineLvl w:val="0"/>
        <w:rPr>
          <w:rFonts w:ascii="Arial Narrow" w:eastAsia="Times New Roman" w:hAnsi="Arial Narrow" w:cs="Times New Roman"/>
          <w:b/>
          <w:bCs/>
          <w:kern w:val="36"/>
          <w:sz w:val="28"/>
          <w:szCs w:val="28"/>
          <w:lang w:eastAsia="fr-FR"/>
        </w:rPr>
      </w:pPr>
      <w:r w:rsidRPr="0010043A">
        <w:rPr>
          <w:rFonts w:ascii="Arial Narrow" w:eastAsia="Times New Roman" w:hAnsi="Arial Narrow" w:cs="Times New Roman"/>
          <w:b/>
          <w:bCs/>
          <w:kern w:val="36"/>
          <w:sz w:val="28"/>
          <w:szCs w:val="28"/>
          <w:lang w:eastAsia="fr-FR"/>
        </w:rPr>
        <w:t>Conseil d'</w:t>
      </w:r>
      <w:r>
        <w:rPr>
          <w:rFonts w:ascii="Arial" w:eastAsia="Times New Roman" w:hAnsi="Arial" w:cs="Arial"/>
          <w:b/>
          <w:bCs/>
          <w:kern w:val="36"/>
          <w:sz w:val="28"/>
          <w:szCs w:val="28"/>
          <w:lang w:eastAsia="fr-FR"/>
        </w:rPr>
        <w:t>É</w:t>
      </w:r>
      <w:r w:rsidRPr="0010043A">
        <w:rPr>
          <w:rFonts w:ascii="Arial Narrow" w:eastAsia="Times New Roman" w:hAnsi="Arial Narrow" w:cs="Times New Roman"/>
          <w:b/>
          <w:bCs/>
          <w:kern w:val="36"/>
          <w:sz w:val="28"/>
          <w:szCs w:val="28"/>
          <w:lang w:eastAsia="fr-FR"/>
        </w:rPr>
        <w:t>tat, Avis Assemblée, du 24 octobre 1997, 187122, publié au recueil Lebon</w:t>
      </w:r>
    </w:p>
    <w:p w14:paraId="7C112658" w14:textId="1CD8A9EB" w:rsidR="0010043A" w:rsidRPr="0010043A" w:rsidRDefault="0010043A" w:rsidP="0010043A">
      <w:pPr>
        <w:spacing w:before="120" w:after="0" w:line="240" w:lineRule="auto"/>
        <w:jc w:val="both"/>
        <w:outlineLvl w:val="2"/>
        <w:rPr>
          <w:rFonts w:ascii="Arial Narrow" w:eastAsia="Times New Roman" w:hAnsi="Arial Narrow" w:cs="Times New Roman"/>
          <w:lang w:eastAsia="fr-FR"/>
        </w:rPr>
      </w:pPr>
      <w:hyperlink r:id="rId5" w:history="1">
        <w:r w:rsidRPr="005C25B4">
          <w:rPr>
            <w:rStyle w:val="Lienhypertexte"/>
            <w:rFonts w:ascii="Arial Narrow" w:eastAsia="Times New Roman" w:hAnsi="Arial Narrow" w:cs="Times New Roman"/>
            <w:lang w:eastAsia="fr-FR"/>
          </w:rPr>
          <w:t>https://www.doctrine.fr/d/CE/1997/CEW:FR:CEASS:1997:187122.19971024</w:t>
        </w:r>
      </w:hyperlink>
      <w:r>
        <w:rPr>
          <w:rFonts w:ascii="Arial Narrow" w:eastAsia="Times New Roman" w:hAnsi="Arial Narrow" w:cs="Times New Roman"/>
          <w:lang w:eastAsia="fr-FR"/>
        </w:rPr>
        <w:t xml:space="preserve"> </w:t>
      </w:r>
    </w:p>
    <w:p w14:paraId="35CCBA43" w14:textId="4569849C" w:rsidR="0010043A" w:rsidRPr="0010043A" w:rsidRDefault="0010043A" w:rsidP="0010043A">
      <w:pPr>
        <w:spacing w:before="120" w:after="0" w:line="240" w:lineRule="auto"/>
        <w:jc w:val="both"/>
        <w:outlineLvl w:val="2"/>
        <w:rPr>
          <w:rFonts w:ascii="Arial Narrow" w:eastAsia="Times New Roman" w:hAnsi="Arial Narrow" w:cs="Times New Roman"/>
          <w:b/>
          <w:bCs/>
          <w:lang w:eastAsia="fr-FR"/>
        </w:rPr>
      </w:pPr>
      <w:r w:rsidRPr="0010043A">
        <w:rPr>
          <w:rFonts w:ascii="Arial Narrow" w:eastAsia="Times New Roman" w:hAnsi="Arial Narrow" w:cs="Times New Roman"/>
          <w:b/>
          <w:bCs/>
          <w:lang w:eastAsia="fr-FR"/>
        </w:rPr>
        <w:t>Résumé</w:t>
      </w:r>
    </w:p>
    <w:p w14:paraId="0A127A3B"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Une association ne peut être regardée comme une association cultuelle au sens de la loi du 9 décembre 1905 que si elle a pour objet exclusif l’exercice d’un culte (1) et si elle n’a aucune activité contraire à l’ordre public (2).</w:t>
      </w:r>
    </w:p>
    <w:p w14:paraId="01E7CD67"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Une association ne peut bénéficier de l’exonération de la taxe foncière sur les propriétés bâties au titre du 4° de l’article 1382 du code général des impôts que si elle a le caractère d’une association cultuelle au sens de la loi du 9 décembre 1905, c’est-à-dire si elle a pour objet exclusif l’exercice d’un culte (1) et si aucune de ses activités n’est contraire à l’ordre public (2).</w:t>
      </w:r>
    </w:p>
    <w:p w14:paraId="3815C2A1" w14:textId="77777777" w:rsidR="0010043A" w:rsidRPr="0010043A" w:rsidRDefault="0010043A" w:rsidP="0010043A">
      <w:pPr>
        <w:spacing w:before="120" w:after="0" w:line="240" w:lineRule="auto"/>
        <w:jc w:val="both"/>
        <w:outlineLvl w:val="2"/>
        <w:rPr>
          <w:rFonts w:ascii="Arial Narrow" w:eastAsia="Times New Roman" w:hAnsi="Arial Narrow" w:cs="Times New Roman"/>
          <w:b/>
          <w:bCs/>
          <w:lang w:eastAsia="fr-FR"/>
        </w:rPr>
      </w:pPr>
      <w:r w:rsidRPr="0010043A">
        <w:rPr>
          <w:rFonts w:ascii="Arial Narrow" w:eastAsia="Times New Roman" w:hAnsi="Arial Narrow" w:cs="Times New Roman"/>
          <w:b/>
          <w:bCs/>
          <w:lang w:eastAsia="fr-FR"/>
        </w:rPr>
        <w:t>Sur la décision</w:t>
      </w:r>
    </w:p>
    <w:p w14:paraId="35D876A7" w14:textId="77777777" w:rsidR="0010043A" w:rsidRPr="0010043A" w:rsidRDefault="0010043A" w:rsidP="0010043A">
      <w:pPr>
        <w:numPr>
          <w:ilvl w:val="0"/>
          <w:numId w:val="3"/>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Référence : </w:t>
      </w:r>
    </w:p>
    <w:p w14:paraId="4C4CA82E" w14:textId="1448CC4D" w:rsidR="0010043A" w:rsidRPr="0010043A" w:rsidRDefault="0010043A" w:rsidP="0010043A">
      <w:pPr>
        <w:spacing w:before="120" w:after="0" w:line="240" w:lineRule="auto"/>
        <w:ind w:left="720"/>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object w:dxaOrig="225" w:dyaOrig="225" w14:anchorId="6D488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6" o:title=""/>
          </v:shape>
          <w:control r:id="rId7" w:name="DefaultOcxName" w:shapeid="_x0000_i1041"/>
        </w:object>
      </w:r>
    </w:p>
    <w:p w14:paraId="35C2D787"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Juridiction : Conseil d'État</w:t>
      </w:r>
    </w:p>
    <w:p w14:paraId="0ED327B8"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Numéro : 187122</w:t>
      </w:r>
    </w:p>
    <w:p w14:paraId="55A770DE"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Importance : Publié au recueil Lebon</w:t>
      </w:r>
    </w:p>
    <w:p w14:paraId="13A1E93D"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Précédents jurisprudentiels : </w:t>
      </w:r>
    </w:p>
    <w:p w14:paraId="457D94EA" w14:textId="77777777" w:rsidR="0010043A" w:rsidRPr="0010043A" w:rsidRDefault="0010043A" w:rsidP="0010043A">
      <w:pPr>
        <w:spacing w:before="120" w:after="0" w:line="240" w:lineRule="auto"/>
        <w:ind w:left="720"/>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1. Cf. 1983-01-21, Association Fraternité des serviteurs du monde nouveau, p. 18. 2. Cf. Assemblée, 1985-02-01, Association chrétienne "Les témoins de Jéhovah", p. 22</w:t>
      </w:r>
    </w:p>
    <w:p w14:paraId="7DC6A0FB"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Textes appliqués : CGI 1382</w:t>
      </w:r>
    </w:p>
    <w:p w14:paraId="481AC46E" w14:textId="77777777" w:rsidR="0010043A" w:rsidRPr="0010043A" w:rsidRDefault="0010043A" w:rsidP="0010043A">
      <w:pPr>
        <w:spacing w:before="120" w:after="0" w:line="240" w:lineRule="auto"/>
        <w:ind w:left="720"/>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Loi 1905-12-09 art. 18, art. 19, art. 1</w:t>
      </w:r>
    </w:p>
    <w:p w14:paraId="45EE848E" w14:textId="77777777" w:rsidR="0010043A" w:rsidRPr="0010043A" w:rsidRDefault="0010043A" w:rsidP="0010043A">
      <w:pPr>
        <w:spacing w:before="120" w:after="0" w:line="240" w:lineRule="auto"/>
        <w:ind w:left="720"/>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Loi 87-1127</w:t>
      </w:r>
      <w:r w:rsidRPr="0010043A">
        <w:rPr>
          <w:rFonts w:ascii="Arial" w:eastAsia="Times New Roman" w:hAnsi="Arial" w:cs="Arial"/>
          <w:lang w:eastAsia="fr-FR"/>
        </w:rPr>
        <w:t> </w:t>
      </w:r>
      <w:r w:rsidRPr="0010043A">
        <w:rPr>
          <w:rFonts w:ascii="Arial Narrow" w:eastAsia="Times New Roman" w:hAnsi="Arial Narrow" w:cs="Times New Roman"/>
          <w:lang w:eastAsia="fr-FR"/>
        </w:rPr>
        <w:t>1987-12-31</w:t>
      </w:r>
      <w:r w:rsidRPr="0010043A">
        <w:rPr>
          <w:rFonts w:ascii="Arial Narrow" w:eastAsia="Times New Roman" w:hAnsi="Arial Narrow" w:cs="Arial Narrow"/>
          <w:lang w:eastAsia="fr-FR"/>
        </w:rPr>
        <w:t> </w:t>
      </w:r>
      <w:r w:rsidRPr="0010043A">
        <w:rPr>
          <w:rFonts w:ascii="Arial Narrow" w:eastAsia="Times New Roman" w:hAnsi="Arial Narrow" w:cs="Times New Roman"/>
          <w:lang w:eastAsia="fr-FR"/>
        </w:rPr>
        <w:t>art. 12</w:t>
      </w:r>
    </w:p>
    <w:p w14:paraId="6A601832"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Identifiant Légifrance : CETATEXT000007959357</w:t>
      </w:r>
    </w:p>
    <w:p w14:paraId="038D237D" w14:textId="77777777" w:rsidR="0010043A" w:rsidRPr="0010043A" w:rsidRDefault="0010043A" w:rsidP="0010043A">
      <w:pPr>
        <w:numPr>
          <w:ilvl w:val="0"/>
          <w:numId w:val="4"/>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Identifiant européen : </w:t>
      </w:r>
      <w:proofErr w:type="gramStart"/>
      <w:r w:rsidRPr="0010043A">
        <w:rPr>
          <w:rFonts w:ascii="Arial Narrow" w:eastAsia="Times New Roman" w:hAnsi="Arial Narrow" w:cs="Times New Roman"/>
          <w:lang w:eastAsia="fr-FR"/>
        </w:rPr>
        <w:t>ECLI:</w:t>
      </w:r>
      <w:proofErr w:type="gramEnd"/>
      <w:r w:rsidRPr="0010043A">
        <w:rPr>
          <w:rFonts w:ascii="Arial Narrow" w:eastAsia="Times New Roman" w:hAnsi="Arial Narrow" w:cs="Times New Roman"/>
          <w:lang w:eastAsia="fr-FR"/>
        </w:rPr>
        <w:t>FR:CEASS:1997:187122.19971024</w:t>
      </w:r>
    </w:p>
    <w:p w14:paraId="58972669" w14:textId="77777777" w:rsidR="0010043A" w:rsidRPr="0010043A" w:rsidRDefault="0010043A" w:rsidP="0010043A">
      <w:pPr>
        <w:spacing w:before="120" w:after="0" w:line="240" w:lineRule="auto"/>
        <w:jc w:val="both"/>
        <w:outlineLvl w:val="2"/>
        <w:rPr>
          <w:rFonts w:ascii="Arial Narrow" w:eastAsia="Times New Roman" w:hAnsi="Arial Narrow" w:cs="Times New Roman"/>
          <w:b/>
          <w:bCs/>
          <w:lang w:eastAsia="fr-FR"/>
        </w:rPr>
      </w:pPr>
      <w:r w:rsidRPr="0010043A">
        <w:rPr>
          <w:rFonts w:ascii="Arial Narrow" w:eastAsia="Times New Roman" w:hAnsi="Arial Narrow" w:cs="Times New Roman"/>
          <w:b/>
          <w:bCs/>
          <w:lang w:eastAsia="fr-FR"/>
        </w:rPr>
        <w:t>Sur les personnes</w:t>
      </w:r>
    </w:p>
    <w:p w14:paraId="39A9663B" w14:textId="77777777" w:rsidR="0010043A" w:rsidRPr="0010043A" w:rsidRDefault="0010043A" w:rsidP="0010043A">
      <w:pPr>
        <w:numPr>
          <w:ilvl w:val="0"/>
          <w:numId w:val="5"/>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Président : M. </w:t>
      </w:r>
      <w:proofErr w:type="spellStart"/>
      <w:r w:rsidRPr="0010043A">
        <w:rPr>
          <w:rFonts w:ascii="Arial Narrow" w:eastAsia="Times New Roman" w:hAnsi="Arial Narrow" w:cs="Times New Roman"/>
          <w:lang w:eastAsia="fr-FR"/>
        </w:rPr>
        <w:t>Denoix</w:t>
      </w:r>
      <w:proofErr w:type="spellEnd"/>
      <w:r w:rsidRPr="0010043A">
        <w:rPr>
          <w:rFonts w:ascii="Arial Narrow" w:eastAsia="Times New Roman" w:hAnsi="Arial Narrow" w:cs="Times New Roman"/>
          <w:lang w:eastAsia="fr-FR"/>
        </w:rPr>
        <w:t xml:space="preserve"> de Saint Marc</w:t>
      </w:r>
    </w:p>
    <w:p w14:paraId="32C3C857" w14:textId="77777777" w:rsidR="0010043A" w:rsidRPr="0010043A" w:rsidRDefault="0010043A" w:rsidP="0010043A">
      <w:pPr>
        <w:numPr>
          <w:ilvl w:val="0"/>
          <w:numId w:val="5"/>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Rapporteur : M. Struillou</w:t>
      </w:r>
    </w:p>
    <w:p w14:paraId="1BE98275" w14:textId="77777777" w:rsidR="0010043A" w:rsidRPr="0010043A" w:rsidRDefault="0010043A" w:rsidP="0010043A">
      <w:pPr>
        <w:numPr>
          <w:ilvl w:val="0"/>
          <w:numId w:val="5"/>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Rapporteur public : M. Arrighi de Casanova</w:t>
      </w:r>
    </w:p>
    <w:p w14:paraId="683E759A" w14:textId="77777777" w:rsidR="0010043A" w:rsidRPr="0010043A" w:rsidRDefault="0010043A" w:rsidP="0010043A">
      <w:pPr>
        <w:numPr>
          <w:ilvl w:val="0"/>
          <w:numId w:val="5"/>
        </w:num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Parties : Association locale pour le culte des témoins de Jéhovah de Riom</w:t>
      </w:r>
    </w:p>
    <w:p w14:paraId="14F26268" w14:textId="77777777" w:rsidR="0010043A" w:rsidRDefault="0010043A">
      <w:pPr>
        <w:rPr>
          <w:rFonts w:ascii="Arial Narrow" w:eastAsia="Times New Roman" w:hAnsi="Arial Narrow" w:cs="Times New Roman"/>
          <w:b/>
          <w:bCs/>
          <w:lang w:eastAsia="fr-FR"/>
        </w:rPr>
      </w:pPr>
      <w:r>
        <w:rPr>
          <w:rFonts w:ascii="Arial Narrow" w:eastAsia="Times New Roman" w:hAnsi="Arial Narrow" w:cs="Times New Roman"/>
          <w:b/>
          <w:bCs/>
          <w:lang w:eastAsia="fr-FR"/>
        </w:rPr>
        <w:br w:type="page"/>
      </w:r>
    </w:p>
    <w:p w14:paraId="3F329081" w14:textId="04679601" w:rsidR="0010043A" w:rsidRPr="0010043A" w:rsidRDefault="0010043A" w:rsidP="0010043A">
      <w:pPr>
        <w:spacing w:before="120" w:after="0" w:line="240" w:lineRule="auto"/>
        <w:jc w:val="both"/>
        <w:outlineLvl w:val="1"/>
        <w:rPr>
          <w:rFonts w:ascii="Arial Narrow" w:eastAsia="Times New Roman" w:hAnsi="Arial Narrow" w:cs="Times New Roman"/>
          <w:b/>
          <w:bCs/>
          <w:lang w:eastAsia="fr-FR"/>
        </w:rPr>
      </w:pPr>
      <w:r w:rsidRPr="0010043A">
        <w:rPr>
          <w:rFonts w:ascii="Arial Narrow" w:eastAsia="Times New Roman" w:hAnsi="Arial Narrow" w:cs="Times New Roman"/>
          <w:b/>
          <w:bCs/>
          <w:lang w:eastAsia="fr-FR"/>
        </w:rPr>
        <w:t>Texte intégral</w:t>
      </w:r>
    </w:p>
    <w:p w14:paraId="11DE6C7F"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b/>
          <w:bCs/>
          <w:lang w:eastAsia="fr-FR"/>
        </w:rPr>
        <w:t>Conseil d’État</w:t>
      </w:r>
    </w:p>
    <w:p w14:paraId="1CF5107E" w14:textId="2A43C19E"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b/>
          <w:bCs/>
          <w:lang w:eastAsia="fr-FR"/>
        </w:rPr>
        <w:t>N° 187122</w:t>
      </w:r>
      <w:r>
        <w:rPr>
          <w:rFonts w:ascii="Arial Narrow" w:eastAsia="Times New Roman" w:hAnsi="Arial Narrow" w:cs="Times New Roman"/>
          <w:b/>
          <w:bCs/>
          <w:lang w:eastAsia="fr-FR"/>
        </w:rPr>
        <w:t xml:space="preserve"> </w:t>
      </w:r>
      <w:proofErr w:type="gramStart"/>
      <w:r w:rsidRPr="0010043A">
        <w:rPr>
          <w:rFonts w:ascii="Arial Narrow" w:eastAsia="Times New Roman" w:hAnsi="Arial Narrow" w:cs="Times New Roman"/>
          <w:b/>
          <w:bCs/>
          <w:lang w:eastAsia="fr-FR"/>
        </w:rPr>
        <w:t>ECLI:</w:t>
      </w:r>
      <w:proofErr w:type="gramEnd"/>
      <w:r w:rsidRPr="0010043A">
        <w:rPr>
          <w:rFonts w:ascii="Arial Narrow" w:eastAsia="Times New Roman" w:hAnsi="Arial Narrow" w:cs="Times New Roman"/>
          <w:b/>
          <w:bCs/>
          <w:lang w:eastAsia="fr-FR"/>
        </w:rPr>
        <w:t>FR:CEASS:1997:187122.19971024</w:t>
      </w:r>
      <w:r>
        <w:rPr>
          <w:rFonts w:ascii="Arial Narrow" w:eastAsia="Times New Roman" w:hAnsi="Arial Narrow" w:cs="Times New Roman"/>
          <w:b/>
          <w:bCs/>
          <w:lang w:eastAsia="fr-FR"/>
        </w:rPr>
        <w:t xml:space="preserve"> </w:t>
      </w:r>
      <w:r w:rsidRPr="0010043A">
        <w:rPr>
          <w:rFonts w:ascii="Arial Narrow" w:eastAsia="Times New Roman" w:hAnsi="Arial Narrow" w:cs="Times New Roman"/>
          <w:lang w:eastAsia="fr-FR"/>
        </w:rPr>
        <w:t>Publié au recueil Lebon</w:t>
      </w:r>
      <w:r>
        <w:rPr>
          <w:rFonts w:ascii="Arial Narrow" w:eastAsia="Times New Roman" w:hAnsi="Arial Narrow" w:cs="Times New Roman"/>
          <w:lang w:eastAsia="fr-FR"/>
        </w:rPr>
        <w:t xml:space="preserve"> </w:t>
      </w:r>
      <w:r w:rsidRPr="0010043A">
        <w:rPr>
          <w:rFonts w:ascii="Arial Narrow" w:eastAsia="Times New Roman" w:hAnsi="Arial Narrow" w:cs="Times New Roman"/>
          <w:b/>
          <w:bCs/>
          <w:lang w:eastAsia="fr-FR"/>
        </w:rPr>
        <w:t>Section du Contentieux</w:t>
      </w:r>
      <w:r>
        <w:rPr>
          <w:rFonts w:ascii="Arial Narrow" w:eastAsia="Times New Roman" w:hAnsi="Arial Narrow" w:cs="Times New Roman"/>
          <w:b/>
          <w:bCs/>
          <w:lang w:eastAsia="fr-FR"/>
        </w:rPr>
        <w:t xml:space="preserve"> </w:t>
      </w:r>
      <w:r w:rsidRPr="0010043A">
        <w:rPr>
          <w:rFonts w:ascii="Arial Narrow" w:eastAsia="Times New Roman" w:hAnsi="Arial Narrow" w:cs="Times New Roman"/>
          <w:lang w:eastAsia="fr-FR"/>
        </w:rPr>
        <w:t>M. </w:t>
      </w:r>
      <w:proofErr w:type="spellStart"/>
      <w:r w:rsidRPr="0010043A">
        <w:rPr>
          <w:rFonts w:ascii="Arial Narrow" w:eastAsia="Times New Roman" w:hAnsi="Arial Narrow" w:cs="Times New Roman"/>
          <w:lang w:eastAsia="fr-FR"/>
        </w:rPr>
        <w:t>Denoix</w:t>
      </w:r>
      <w:proofErr w:type="spellEnd"/>
      <w:r w:rsidRPr="0010043A">
        <w:rPr>
          <w:rFonts w:ascii="Arial Narrow" w:eastAsia="Times New Roman" w:hAnsi="Arial Narrow" w:cs="Times New Roman"/>
          <w:lang w:eastAsia="fr-FR"/>
        </w:rPr>
        <w:t xml:space="preserve"> de Saint Marc, président</w:t>
      </w:r>
      <w:r>
        <w:rPr>
          <w:rFonts w:ascii="Arial Narrow" w:eastAsia="Times New Roman" w:hAnsi="Arial Narrow" w:cs="Times New Roman"/>
          <w:lang w:eastAsia="fr-FR"/>
        </w:rPr>
        <w:t xml:space="preserve"> </w:t>
      </w:r>
      <w:r w:rsidRPr="0010043A">
        <w:rPr>
          <w:rFonts w:ascii="Arial Narrow" w:eastAsia="Times New Roman" w:hAnsi="Arial Narrow" w:cs="Times New Roman"/>
          <w:lang w:eastAsia="fr-FR"/>
        </w:rPr>
        <w:t>M. Struillou, rapporteur</w:t>
      </w:r>
      <w:r>
        <w:rPr>
          <w:rFonts w:ascii="Arial Narrow" w:eastAsia="Times New Roman" w:hAnsi="Arial Narrow" w:cs="Times New Roman"/>
          <w:lang w:eastAsia="fr-FR"/>
        </w:rPr>
        <w:t xml:space="preserve"> </w:t>
      </w:r>
      <w:r w:rsidRPr="0010043A">
        <w:rPr>
          <w:rFonts w:ascii="Arial Narrow" w:eastAsia="Times New Roman" w:hAnsi="Arial Narrow" w:cs="Times New Roman"/>
          <w:lang w:eastAsia="fr-FR"/>
        </w:rPr>
        <w:t>M. Arrighi de Casanova, commissaire du gouvernement</w:t>
      </w:r>
      <w:r>
        <w:rPr>
          <w:rFonts w:ascii="Arial Narrow" w:eastAsia="Times New Roman" w:hAnsi="Arial Narrow" w:cs="Times New Roman"/>
          <w:lang w:eastAsia="fr-FR"/>
        </w:rPr>
        <w:t xml:space="preserve"> </w:t>
      </w:r>
      <w:r w:rsidRPr="0010043A">
        <w:rPr>
          <w:rFonts w:ascii="Arial Narrow" w:eastAsia="Times New Roman" w:hAnsi="Arial Narrow" w:cs="Times New Roman"/>
          <w:lang w:eastAsia="fr-FR"/>
        </w:rPr>
        <w:t>M</w:t>
      </w:r>
      <w:r w:rsidRPr="0010043A">
        <w:rPr>
          <w:rFonts w:ascii="Arial Narrow" w:eastAsia="Times New Roman" w:hAnsi="Arial Narrow" w:cs="Times New Roman"/>
          <w:vertAlign w:val="superscript"/>
          <w:lang w:eastAsia="fr-FR"/>
        </w:rPr>
        <w:t>e</w:t>
      </w:r>
      <w:r w:rsidRPr="0010043A">
        <w:rPr>
          <w:rFonts w:ascii="Arial Narrow" w:eastAsia="Times New Roman" w:hAnsi="Arial Narrow" w:cs="Times New Roman"/>
          <w:lang w:eastAsia="fr-FR"/>
        </w:rPr>
        <w:t> Blondel, Avocat, avocats</w:t>
      </w:r>
    </w:p>
    <w:p w14:paraId="008668C6"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b/>
          <w:bCs/>
          <w:lang w:eastAsia="fr-FR"/>
        </w:rPr>
        <w:t>Lecture du 24 octobre 1997REPUBLIQUE FRANCAISE</w:t>
      </w:r>
    </w:p>
    <w:p w14:paraId="3F6E33D8"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AU NOM DU PEUPLE FRANCAIS</w:t>
      </w:r>
    </w:p>
    <w:p w14:paraId="01C7BCFE"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pict w14:anchorId="1195B1E2">
          <v:rect id="_x0000_i1025" style="width:0;height:1.5pt" o:hralign="center" o:hrstd="t" o:hr="t" fillcolor="#a0a0a0" stroked="f"/>
        </w:pict>
      </w:r>
    </w:p>
    <w:p w14:paraId="66A9FAD8" w14:textId="00C1660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Vu, enregistré le 14 avril 1997, au secrétariat du Contentieux du Conseil d’</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 xml:space="preserve">tat le jugement du 25 mars 1997 par lequel le tribunal administratif de Clermont-Ferrand, avant de statuer sur la demande de l’ASSOCIATION LOCALE POUR LE CULTE DES TEMOINS DE JEHOVAH DE RIOM tendant à la décharge de la taxe foncière à laquelle elle a été assujettie au titre de l’année 1995 dans les rôles de la commune de Riom, a décidé, en application des dispositions de l’article </w:t>
      </w:r>
      <w:hyperlink r:id="rId8" w:history="1">
        <w:r w:rsidRPr="0010043A">
          <w:rPr>
            <w:rFonts w:ascii="Arial Narrow" w:eastAsia="Times New Roman" w:hAnsi="Arial Narrow" w:cs="Times New Roman"/>
            <w:color w:val="0000FF"/>
            <w:u w:val="single"/>
            <w:lang w:eastAsia="fr-FR"/>
          </w:rPr>
          <w:t>12</w:t>
        </w:r>
      </w:hyperlink>
      <w:r w:rsidRPr="0010043A">
        <w:rPr>
          <w:rFonts w:ascii="Arial Narrow" w:eastAsia="Times New Roman" w:hAnsi="Arial Narrow" w:cs="Times New Roman"/>
          <w:lang w:eastAsia="fr-FR"/>
        </w:rPr>
        <w:t> de la loi n° 87-1127 du 31 décembre 1987 portant réforme du contentieux administratif, de transmettre le dossier de cette demande au Conseil d’</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 xml:space="preserve">tat en soumettant à son examen la question de savoir si l’association requérante peut être qualifiée d’association cultuelle au sens des dispositions du 4° de l’article </w:t>
      </w:r>
      <w:hyperlink r:id="rId9" w:history="1">
        <w:r w:rsidRPr="0010043A">
          <w:rPr>
            <w:rFonts w:ascii="Arial Narrow" w:eastAsia="Times New Roman" w:hAnsi="Arial Narrow" w:cs="Times New Roman"/>
            <w:color w:val="0000FF"/>
            <w:u w:val="single"/>
            <w:lang w:eastAsia="fr-FR"/>
          </w:rPr>
          <w:t>1382</w:t>
        </w:r>
      </w:hyperlink>
      <w:r w:rsidRPr="0010043A">
        <w:rPr>
          <w:rFonts w:ascii="Arial Narrow" w:eastAsia="Times New Roman" w:hAnsi="Arial Narrow" w:cs="Times New Roman"/>
          <w:lang w:eastAsia="fr-FR"/>
        </w:rPr>
        <w:t xml:space="preserve"> du code général des impôts et de la loi du 9 décembre 1905 concernant la séparation des </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glises et de l’</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tat</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22090E82"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Vu les autres pièces du dossier</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507E5A22"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Vu le code général des impôts</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1A549A14"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Vu la loi du 9 décembre 1905 concernant la séparation des </w:t>
      </w:r>
      <w:proofErr w:type="spellStart"/>
      <w:r w:rsidRPr="0010043A">
        <w:rPr>
          <w:rFonts w:ascii="Arial Narrow" w:eastAsia="Times New Roman" w:hAnsi="Arial Narrow" w:cs="Times New Roman"/>
          <w:lang w:eastAsia="fr-FR"/>
        </w:rPr>
        <w:t>Eglises</w:t>
      </w:r>
      <w:proofErr w:type="spellEnd"/>
      <w:r w:rsidRPr="0010043A">
        <w:rPr>
          <w:rFonts w:ascii="Arial Narrow" w:eastAsia="Times New Roman" w:hAnsi="Arial Narrow" w:cs="Times New Roman"/>
          <w:lang w:eastAsia="fr-FR"/>
        </w:rPr>
        <w:t xml:space="preserve"> et de l’</w:t>
      </w:r>
      <w:proofErr w:type="spellStart"/>
      <w:r w:rsidRPr="0010043A">
        <w:rPr>
          <w:rFonts w:ascii="Arial Narrow" w:eastAsia="Times New Roman" w:hAnsi="Arial Narrow" w:cs="Times New Roman"/>
          <w:lang w:eastAsia="fr-FR"/>
        </w:rPr>
        <w:t>Etat</w:t>
      </w:r>
      <w:proofErr w:type="spellEnd"/>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3AA7AEEF"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Vu la loi n° 87-1127 du 31 décembre 1987, et notamment son article </w:t>
      </w:r>
      <w:hyperlink r:id="rId10" w:history="1">
        <w:r w:rsidRPr="0010043A">
          <w:rPr>
            <w:rFonts w:ascii="Arial Narrow" w:eastAsia="Times New Roman" w:hAnsi="Arial Narrow" w:cs="Times New Roman"/>
            <w:color w:val="0000FF"/>
            <w:u w:val="single"/>
            <w:lang w:eastAsia="fr-FR"/>
          </w:rPr>
          <w:t>12</w:t>
        </w:r>
      </w:hyperlink>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4DEECD1B"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Vu les articles 57-11 à </w:t>
      </w:r>
      <w:hyperlink r:id="rId11" w:history="1">
        <w:r w:rsidRPr="0010043A">
          <w:rPr>
            <w:rFonts w:ascii="Arial Narrow" w:eastAsia="Times New Roman" w:hAnsi="Arial Narrow" w:cs="Times New Roman"/>
            <w:color w:val="0000FF"/>
            <w:u w:val="single"/>
            <w:lang w:eastAsia="fr-FR"/>
          </w:rPr>
          <w:t>57-13</w:t>
        </w:r>
      </w:hyperlink>
      <w:r w:rsidRPr="0010043A">
        <w:rPr>
          <w:rFonts w:ascii="Arial Narrow" w:eastAsia="Times New Roman" w:hAnsi="Arial Narrow" w:cs="Times New Roman"/>
          <w:lang w:eastAsia="fr-FR"/>
        </w:rPr>
        <w:t> ajoutés au décret n° 63-766 du 30 juillet 1963 modifié par le décret n° 88-905 du 2 septembre 1988</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5D3F6D2F"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Vu le code des tribunaux administratifs et des cours administratives d’appel</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654C7EE3"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Vu l’ordonnance n° 45-1708 du 31 juillet 1945, le décret n° 53-934 du 30 septembre 1953 et la loi n° 87-1127 du 31 décembre 1987</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42ACAA00"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Après avoir entendu en audience publique :</w:t>
      </w:r>
    </w:p>
    <w:p w14:paraId="75028C2D"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w:eastAsia="Times New Roman" w:hAnsi="Arial" w:cs="Arial"/>
          <w:lang w:eastAsia="fr-FR"/>
        </w:rPr>
        <w:t> </w:t>
      </w:r>
      <w:r w:rsidRPr="0010043A">
        <w:rPr>
          <w:rFonts w:ascii="Arial Narrow" w:eastAsia="Times New Roman" w:hAnsi="Arial Narrow" w:cs="Arial Narrow"/>
          <w:lang w:eastAsia="fr-FR"/>
        </w:rPr>
        <w:t>–</w:t>
      </w:r>
      <w:r w:rsidRPr="0010043A">
        <w:rPr>
          <w:rFonts w:ascii="Arial" w:eastAsia="Times New Roman" w:hAnsi="Arial" w:cs="Arial"/>
          <w:lang w:eastAsia="fr-FR"/>
        </w:rPr>
        <w:t> </w:t>
      </w:r>
      <w:r w:rsidRPr="0010043A">
        <w:rPr>
          <w:rFonts w:ascii="Arial Narrow" w:eastAsia="Times New Roman" w:hAnsi="Arial Narrow" w:cs="Times New Roman"/>
          <w:lang w:eastAsia="fr-FR"/>
        </w:rPr>
        <w:t>le rapport de M.</w:t>
      </w:r>
      <w:r w:rsidRPr="0010043A">
        <w:rPr>
          <w:rFonts w:ascii="Arial Narrow" w:eastAsia="Times New Roman" w:hAnsi="Arial Narrow" w:cs="Arial Narrow"/>
          <w:lang w:eastAsia="fr-FR"/>
        </w:rPr>
        <w:t> </w:t>
      </w:r>
      <w:r w:rsidRPr="0010043A">
        <w:rPr>
          <w:rFonts w:ascii="Arial Narrow" w:eastAsia="Times New Roman" w:hAnsi="Arial Narrow" w:cs="Times New Roman"/>
          <w:lang w:eastAsia="fr-FR"/>
        </w:rPr>
        <w:t>Struillou, Ma</w:t>
      </w:r>
      <w:r w:rsidRPr="0010043A">
        <w:rPr>
          <w:rFonts w:ascii="Arial Narrow" w:eastAsia="Times New Roman" w:hAnsi="Arial Narrow" w:cs="Arial Narrow"/>
          <w:lang w:eastAsia="fr-FR"/>
        </w:rPr>
        <w:t>î</w:t>
      </w:r>
      <w:r w:rsidRPr="0010043A">
        <w:rPr>
          <w:rFonts w:ascii="Arial Narrow" w:eastAsia="Times New Roman" w:hAnsi="Arial Narrow" w:cs="Times New Roman"/>
          <w:lang w:eastAsia="fr-FR"/>
        </w:rPr>
        <w:t>tre des Requ</w:t>
      </w:r>
      <w:r w:rsidRPr="0010043A">
        <w:rPr>
          <w:rFonts w:ascii="Arial Narrow" w:eastAsia="Times New Roman" w:hAnsi="Arial Narrow" w:cs="Arial Narrow"/>
          <w:lang w:eastAsia="fr-FR"/>
        </w:rPr>
        <w:t>ê</w:t>
      </w:r>
      <w:r w:rsidRPr="0010043A">
        <w:rPr>
          <w:rFonts w:ascii="Arial Narrow" w:eastAsia="Times New Roman" w:hAnsi="Arial Narrow" w:cs="Times New Roman"/>
          <w:lang w:eastAsia="fr-FR"/>
        </w:rPr>
        <w:t>tes,</w:t>
      </w:r>
    </w:p>
    <w:p w14:paraId="7DC893CE"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w:eastAsia="Times New Roman" w:hAnsi="Arial" w:cs="Arial"/>
          <w:lang w:eastAsia="fr-FR"/>
        </w:rPr>
        <w:t> </w:t>
      </w:r>
      <w:r w:rsidRPr="0010043A">
        <w:rPr>
          <w:rFonts w:ascii="Arial Narrow" w:eastAsia="Times New Roman" w:hAnsi="Arial Narrow" w:cs="Arial Narrow"/>
          <w:lang w:eastAsia="fr-FR"/>
        </w:rPr>
        <w:t>–</w:t>
      </w:r>
      <w:r w:rsidRPr="0010043A">
        <w:rPr>
          <w:rFonts w:ascii="Arial" w:eastAsia="Times New Roman" w:hAnsi="Arial" w:cs="Arial"/>
          <w:lang w:eastAsia="fr-FR"/>
        </w:rPr>
        <w:t> </w:t>
      </w:r>
      <w:r w:rsidRPr="0010043A">
        <w:rPr>
          <w:rFonts w:ascii="Arial Narrow" w:eastAsia="Times New Roman" w:hAnsi="Arial Narrow" w:cs="Times New Roman"/>
          <w:lang w:eastAsia="fr-FR"/>
        </w:rPr>
        <w:t>les observations de M</w:t>
      </w:r>
      <w:r w:rsidRPr="0010043A">
        <w:rPr>
          <w:rFonts w:ascii="Arial Narrow" w:eastAsia="Times New Roman" w:hAnsi="Arial Narrow" w:cs="Times New Roman"/>
          <w:vertAlign w:val="superscript"/>
          <w:lang w:eastAsia="fr-FR"/>
        </w:rPr>
        <w:t>e</w:t>
      </w:r>
      <w:r w:rsidRPr="0010043A">
        <w:rPr>
          <w:rFonts w:ascii="Arial Narrow" w:eastAsia="Times New Roman" w:hAnsi="Arial Narrow" w:cs="Times New Roman"/>
          <w:lang w:eastAsia="fr-FR"/>
        </w:rPr>
        <w:t> Blondel, avocat de l’ASSOCIATION LOCALE POUR LE CULTE DES TEMOINS DE JEHOVAH DE RIOM,</w:t>
      </w:r>
    </w:p>
    <w:p w14:paraId="12DB309D"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w:eastAsia="Times New Roman" w:hAnsi="Arial" w:cs="Arial"/>
          <w:lang w:eastAsia="fr-FR"/>
        </w:rPr>
        <w:t> </w:t>
      </w:r>
      <w:r w:rsidRPr="0010043A">
        <w:rPr>
          <w:rFonts w:ascii="Arial Narrow" w:eastAsia="Times New Roman" w:hAnsi="Arial Narrow" w:cs="Arial Narrow"/>
          <w:lang w:eastAsia="fr-FR"/>
        </w:rPr>
        <w:t>–</w:t>
      </w:r>
      <w:r w:rsidRPr="0010043A">
        <w:rPr>
          <w:rFonts w:ascii="Arial" w:eastAsia="Times New Roman" w:hAnsi="Arial" w:cs="Arial"/>
          <w:lang w:eastAsia="fr-FR"/>
        </w:rPr>
        <w:t> </w:t>
      </w:r>
      <w:r w:rsidRPr="0010043A">
        <w:rPr>
          <w:rFonts w:ascii="Arial Narrow" w:eastAsia="Times New Roman" w:hAnsi="Arial Narrow" w:cs="Times New Roman"/>
          <w:lang w:eastAsia="fr-FR"/>
        </w:rPr>
        <w:t>les conclusions de M.</w:t>
      </w:r>
      <w:r w:rsidRPr="0010043A">
        <w:rPr>
          <w:rFonts w:ascii="Arial Narrow" w:eastAsia="Times New Roman" w:hAnsi="Arial Narrow" w:cs="Arial Narrow"/>
          <w:lang w:eastAsia="fr-FR"/>
        </w:rPr>
        <w:t> </w:t>
      </w:r>
      <w:r w:rsidRPr="0010043A">
        <w:rPr>
          <w:rFonts w:ascii="Arial Narrow" w:eastAsia="Times New Roman" w:hAnsi="Arial Narrow" w:cs="Times New Roman"/>
          <w:lang w:eastAsia="fr-FR"/>
        </w:rPr>
        <w:t>Arrighi de Casanova, Commissaire du gouvernement</w:t>
      </w:r>
      <w:r w:rsidRPr="0010043A">
        <w:rPr>
          <w:rFonts w:ascii="Arial" w:eastAsia="Times New Roman" w:hAnsi="Arial" w:cs="Arial"/>
          <w:lang w:eastAsia="fr-FR"/>
        </w:rPr>
        <w:t> </w:t>
      </w:r>
      <w:r w:rsidRPr="0010043A">
        <w:rPr>
          <w:rFonts w:ascii="Arial Narrow" w:eastAsia="Times New Roman" w:hAnsi="Arial Narrow" w:cs="Times New Roman"/>
          <w:lang w:eastAsia="fr-FR"/>
        </w:rPr>
        <w:t>;</w:t>
      </w:r>
    </w:p>
    <w:p w14:paraId="7DE4A45D"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Aux termes des dispositions de l’article 12 de la loi susvisée du 31 décembre 1987 : «</w:t>
      </w:r>
      <w:r w:rsidRPr="0010043A">
        <w:rPr>
          <w:rFonts w:ascii="Arial" w:eastAsia="Times New Roman" w:hAnsi="Arial" w:cs="Arial"/>
          <w:lang w:eastAsia="fr-FR"/>
        </w:rPr>
        <w:t> </w:t>
      </w:r>
      <w:r w:rsidRPr="0010043A">
        <w:rPr>
          <w:rFonts w:ascii="Arial Narrow" w:eastAsia="Times New Roman" w:hAnsi="Arial Narrow" w:cs="Times New Roman"/>
          <w:lang w:eastAsia="fr-FR"/>
        </w:rPr>
        <w:t>avant de statuer sur une requ</w:t>
      </w:r>
      <w:r w:rsidRPr="0010043A">
        <w:rPr>
          <w:rFonts w:ascii="Arial Narrow" w:eastAsia="Times New Roman" w:hAnsi="Arial Narrow" w:cs="Arial Narrow"/>
          <w:lang w:eastAsia="fr-FR"/>
        </w:rPr>
        <w:t>ê</w:t>
      </w:r>
      <w:r w:rsidRPr="0010043A">
        <w:rPr>
          <w:rFonts w:ascii="Arial Narrow" w:eastAsia="Times New Roman" w:hAnsi="Arial Narrow" w:cs="Times New Roman"/>
          <w:lang w:eastAsia="fr-FR"/>
        </w:rPr>
        <w:t>te soulevant une question de droit nouvelle, pr</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sentant une difficult</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 xml:space="preserve"> s</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rieuse et se posant dans de nombreux litiges, le tribunal administratif peut, par un jugement qui n</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est susceptible d</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aucun recours, transmettre le dossier de l’affaire au Conseil d’</w:t>
      </w:r>
      <w:proofErr w:type="spellStart"/>
      <w:r w:rsidRPr="0010043A">
        <w:rPr>
          <w:rFonts w:ascii="Arial Narrow" w:eastAsia="Times New Roman" w:hAnsi="Arial Narrow" w:cs="Times New Roman"/>
          <w:lang w:eastAsia="fr-FR"/>
        </w:rPr>
        <w:t>Etat</w:t>
      </w:r>
      <w:proofErr w:type="spellEnd"/>
      <w:r w:rsidRPr="0010043A">
        <w:rPr>
          <w:rFonts w:ascii="Arial Narrow" w:eastAsia="Times New Roman" w:hAnsi="Arial Narrow" w:cs="Times New Roman"/>
          <w:lang w:eastAsia="fr-FR"/>
        </w:rPr>
        <w:t xml:space="preserve"> … Il est sursis à toute décision sur le fond de l’affaire jusqu’à un avis du Conseil d’</w:t>
      </w:r>
      <w:proofErr w:type="spellStart"/>
      <w:r w:rsidRPr="0010043A">
        <w:rPr>
          <w:rFonts w:ascii="Arial Narrow" w:eastAsia="Times New Roman" w:hAnsi="Arial Narrow" w:cs="Times New Roman"/>
          <w:lang w:eastAsia="fr-FR"/>
        </w:rPr>
        <w:t>Etat</w:t>
      </w:r>
      <w:proofErr w:type="spellEnd"/>
      <w:r w:rsidRPr="0010043A">
        <w:rPr>
          <w:rFonts w:ascii="Arial" w:eastAsia="Times New Roman" w:hAnsi="Arial" w:cs="Arial"/>
          <w:lang w:eastAsia="fr-FR"/>
        </w:rPr>
        <w:t> </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w:t>
      </w:r>
    </w:p>
    <w:p w14:paraId="47827FDE" w14:textId="73FB4441"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Le 4° de l’article </w:t>
      </w:r>
      <w:hyperlink r:id="rId12" w:history="1">
        <w:r w:rsidRPr="0010043A">
          <w:rPr>
            <w:rFonts w:ascii="Arial Narrow" w:eastAsia="Times New Roman" w:hAnsi="Arial Narrow" w:cs="Times New Roman"/>
            <w:color w:val="0000FF"/>
            <w:u w:val="single"/>
            <w:lang w:eastAsia="fr-FR"/>
          </w:rPr>
          <w:t>1382</w:t>
        </w:r>
      </w:hyperlink>
      <w:r w:rsidRPr="0010043A">
        <w:rPr>
          <w:rFonts w:ascii="Arial Narrow" w:eastAsia="Times New Roman" w:hAnsi="Arial Narrow" w:cs="Times New Roman"/>
          <w:lang w:eastAsia="fr-FR"/>
        </w:rPr>
        <w:t> du code général des impôts exempte de la taxe foncière sur les propriétés bâties «</w:t>
      </w:r>
      <w:r w:rsidRPr="0010043A">
        <w:rPr>
          <w:rFonts w:ascii="Arial" w:eastAsia="Times New Roman" w:hAnsi="Arial" w:cs="Arial"/>
          <w:lang w:eastAsia="fr-FR"/>
        </w:rPr>
        <w:t> </w:t>
      </w:r>
      <w:r w:rsidRPr="0010043A">
        <w:rPr>
          <w:rFonts w:ascii="Arial Narrow" w:eastAsia="Times New Roman" w:hAnsi="Arial Narrow" w:cs="Times New Roman"/>
          <w:lang w:eastAsia="fr-FR"/>
        </w:rPr>
        <w:t xml:space="preserve">les </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difices affect</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 xml:space="preserve">s </w:t>
      </w:r>
      <w:r w:rsidRPr="0010043A">
        <w:rPr>
          <w:rFonts w:ascii="Arial Narrow" w:eastAsia="Times New Roman" w:hAnsi="Arial Narrow" w:cs="Arial Narrow"/>
          <w:lang w:eastAsia="fr-FR"/>
        </w:rPr>
        <w:t>à</w:t>
      </w:r>
      <w:r w:rsidRPr="0010043A">
        <w:rPr>
          <w:rFonts w:ascii="Arial Narrow" w:eastAsia="Times New Roman" w:hAnsi="Arial Narrow" w:cs="Times New Roman"/>
          <w:lang w:eastAsia="fr-FR"/>
        </w:rPr>
        <w:t xml:space="preserve"> l</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exercice d</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 xml:space="preserve">un culte appartenant </w:t>
      </w:r>
      <w:r w:rsidRPr="0010043A">
        <w:rPr>
          <w:rFonts w:ascii="Arial Narrow" w:eastAsia="Times New Roman" w:hAnsi="Arial Narrow" w:cs="Arial Narrow"/>
          <w:lang w:eastAsia="fr-FR"/>
        </w:rPr>
        <w:t>à</w:t>
      </w:r>
      <w:r w:rsidRPr="0010043A">
        <w:rPr>
          <w:rFonts w:ascii="Arial Narrow" w:eastAsia="Times New Roman" w:hAnsi="Arial Narrow" w:cs="Times New Roman"/>
          <w:lang w:eastAsia="fr-FR"/>
        </w:rPr>
        <w:t xml:space="preserve"> l</w:t>
      </w:r>
      <w:r w:rsidRPr="0010043A">
        <w:rPr>
          <w:rFonts w:ascii="Arial Narrow" w:eastAsia="Times New Roman" w:hAnsi="Arial Narrow" w:cs="Arial Narrow"/>
          <w:lang w:eastAsia="fr-FR"/>
        </w:rPr>
        <w:t>’</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tat, aux d</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partements ou aux communes, ou attribu</w:t>
      </w:r>
      <w:r w:rsidRPr="0010043A">
        <w:rPr>
          <w:rFonts w:ascii="Arial Narrow" w:eastAsia="Times New Roman" w:hAnsi="Arial Narrow" w:cs="Arial Narrow"/>
          <w:lang w:eastAsia="fr-FR"/>
        </w:rPr>
        <w:t>é</w:t>
      </w:r>
      <w:r w:rsidRPr="0010043A">
        <w:rPr>
          <w:rFonts w:ascii="Arial Narrow" w:eastAsia="Times New Roman" w:hAnsi="Arial Narrow" w:cs="Times New Roman"/>
          <w:lang w:eastAsia="fr-FR"/>
        </w:rPr>
        <w:t>s, en vertu des dispositions de l</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article 4</w:t>
      </w:r>
      <w:r w:rsidRPr="0010043A">
        <w:rPr>
          <w:rFonts w:ascii="Arial Narrow" w:eastAsia="Times New Roman" w:hAnsi="Arial Narrow" w:cs="Arial Narrow"/>
          <w:lang w:eastAsia="fr-FR"/>
        </w:rPr>
        <w:t> </w:t>
      </w:r>
      <w:r w:rsidRPr="0010043A">
        <w:rPr>
          <w:rFonts w:ascii="Arial Narrow" w:eastAsia="Times New Roman" w:hAnsi="Arial Narrow" w:cs="Times New Roman"/>
          <w:lang w:eastAsia="fr-FR"/>
        </w:rPr>
        <w:t>de la loi de 1905</w:t>
      </w:r>
      <w:r w:rsidRPr="0010043A">
        <w:rPr>
          <w:rFonts w:ascii="Arial Narrow" w:eastAsia="Times New Roman" w:hAnsi="Arial Narrow" w:cs="Arial Narrow"/>
          <w:lang w:eastAsia="fr-FR"/>
        </w:rPr>
        <w:t> </w:t>
      </w:r>
      <w:r w:rsidRPr="0010043A">
        <w:rPr>
          <w:rFonts w:ascii="Arial Narrow" w:eastAsia="Times New Roman" w:hAnsi="Arial Narrow" w:cs="Times New Roman"/>
          <w:lang w:eastAsia="fr-FR"/>
        </w:rPr>
        <w:t>aux associations ou unions prévues par le titre IV de la même loi ainsi que ceux attribués, en vertu des dispositions de l’article 112 de la loi du 29 avril 1926 aux associations visées par cet article et ceux acquis ou édifiés par lesdites associations ou unions</w:t>
      </w:r>
      <w:r w:rsidRPr="0010043A">
        <w:rPr>
          <w:rFonts w:ascii="Arial" w:eastAsia="Times New Roman" w:hAnsi="Arial" w:cs="Arial"/>
          <w:lang w:eastAsia="fr-FR"/>
        </w:rPr>
        <w:t> </w:t>
      </w:r>
      <w:r w:rsidRPr="0010043A">
        <w:rPr>
          <w:rFonts w:ascii="Arial Narrow" w:eastAsia="Times New Roman" w:hAnsi="Arial Narrow" w:cs="Arial Narrow"/>
          <w:lang w:eastAsia="fr-FR"/>
        </w:rPr>
        <w:t>»</w:t>
      </w:r>
      <w:r w:rsidRPr="0010043A">
        <w:rPr>
          <w:rFonts w:ascii="Arial Narrow" w:eastAsia="Times New Roman" w:hAnsi="Arial Narrow" w:cs="Times New Roman"/>
          <w:lang w:eastAsia="fr-FR"/>
        </w:rPr>
        <w:t>. Seules les collectivités publiques et les associations cultuelles au sens de la loi du 9 décembre 1905 ou leurs unions peuvent prétendre, pour les édifices qui leur ont été attribués ou qu’elles ont acquis ou édifiés, au bénéfice de cette exemption sans que celle-ci soit subordonnée à une reconnaissance préalable au titre des dispositions relatives au contrôle des dons et legs.</w:t>
      </w:r>
    </w:p>
    <w:p w14:paraId="747039B1" w14:textId="01A5305E"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Il résulte des dispositions des articles </w:t>
      </w:r>
      <w:hyperlink r:id="rId13" w:history="1">
        <w:r w:rsidRPr="0010043A">
          <w:rPr>
            <w:rFonts w:ascii="Arial Narrow" w:eastAsia="Times New Roman" w:hAnsi="Arial Narrow" w:cs="Times New Roman"/>
            <w:color w:val="0000FF"/>
            <w:u w:val="single"/>
            <w:lang w:eastAsia="fr-FR"/>
          </w:rPr>
          <w:t>18</w:t>
        </w:r>
      </w:hyperlink>
      <w:r w:rsidRPr="0010043A">
        <w:rPr>
          <w:rFonts w:ascii="Arial Narrow" w:eastAsia="Times New Roman" w:hAnsi="Arial Narrow" w:cs="Times New Roman"/>
          <w:lang w:eastAsia="fr-FR"/>
        </w:rPr>
        <w:t xml:space="preserve"> et </w:t>
      </w:r>
      <w:hyperlink r:id="rId14" w:history="1">
        <w:r w:rsidRPr="0010043A">
          <w:rPr>
            <w:rFonts w:ascii="Arial Narrow" w:eastAsia="Times New Roman" w:hAnsi="Arial Narrow" w:cs="Times New Roman"/>
            <w:color w:val="0000FF"/>
            <w:u w:val="single"/>
            <w:lang w:eastAsia="fr-FR"/>
          </w:rPr>
          <w:t>19</w:t>
        </w:r>
      </w:hyperlink>
      <w:r w:rsidRPr="0010043A">
        <w:rPr>
          <w:rFonts w:ascii="Arial Narrow" w:eastAsia="Times New Roman" w:hAnsi="Arial Narrow" w:cs="Times New Roman"/>
          <w:lang w:eastAsia="fr-FR"/>
        </w:rPr>
        <w:t xml:space="preserve"> de la loi du 9 décembre 1905 concernant la séparation des </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glises et de l’</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 xml:space="preserve">tat que les associations revendiquant le statut d’association cultuelle doivent avoir exclusivement pour </w:t>
      </w:r>
      <w:r w:rsidRPr="0010043A">
        <w:rPr>
          <w:rFonts w:ascii="Arial Narrow" w:eastAsia="Times New Roman" w:hAnsi="Arial Narrow" w:cs="Times New Roman"/>
          <w:lang w:eastAsia="fr-FR"/>
        </w:rPr>
        <w:lastRenderedPageBreak/>
        <w:t>objet l’exercice d’un culte, c’est-à-dire, au sens de ces dispositions, la célébration de cérémonies organisées en vue de l’accomplissement, par des personnes réunies par une même croyance religieuse, de certains rites ou de certaines pratiques. En outre, ces associations ne peuvent mener que des activités en relation avec cet objet telles que l’acquisition, la location, la construction, l’aménagement et l’entretien des édifices servant au culte ainsi que l’entretien et la formation des ministres et autres personnes concourant à l’exercice du culte.</w:t>
      </w:r>
    </w:p>
    <w:p w14:paraId="10623789"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La reconnaissance du caractère cultuel d’une association est donc subordonnée à la constatation de l’existence d’un culte et à la condition que l’exercice de celui-ci soit l’objet exclusif de l’association.</w:t>
      </w:r>
    </w:p>
    <w:p w14:paraId="22F93C8B" w14:textId="7777777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Le respect de la condition relative au caractère exclusivement cultuel de l’association doit être apprécié au regard des stipulations statutaires de l’association en cause et de ses activités réelles. La poursuite par une association d’activités autres que celles rappelées ci-dessus est de nature, sauf si ces activités se rattachent directement à l’exercice du culte et présentent un caractère strictement accessoire, à l’exclure du bénéfice du statut d’association cultuelle.</w:t>
      </w:r>
    </w:p>
    <w:p w14:paraId="4E9455B2" w14:textId="7EAD0BB7"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 xml:space="preserve">La liberté des cultes étant assurée par la République, en vertu de l’article </w:t>
      </w:r>
      <w:hyperlink r:id="rId15" w:history="1">
        <w:r w:rsidRPr="0010043A">
          <w:rPr>
            <w:rFonts w:ascii="Arial Narrow" w:eastAsia="Times New Roman" w:hAnsi="Arial Narrow" w:cs="Times New Roman"/>
            <w:color w:val="0000FF"/>
            <w:u w:val="single"/>
            <w:lang w:eastAsia="fr-FR"/>
          </w:rPr>
          <w:t>1</w:t>
        </w:r>
      </w:hyperlink>
      <w:r w:rsidRPr="0010043A">
        <w:rPr>
          <w:rFonts w:ascii="Arial Narrow" w:eastAsia="Times New Roman" w:hAnsi="Arial Narrow" w:cs="Times New Roman"/>
          <w:vertAlign w:val="superscript"/>
          <w:lang w:eastAsia="fr-FR"/>
        </w:rPr>
        <w:t>er</w:t>
      </w:r>
      <w:r w:rsidRPr="0010043A">
        <w:rPr>
          <w:rFonts w:ascii="Arial Narrow" w:eastAsia="Times New Roman" w:hAnsi="Arial Narrow" w:cs="Times New Roman"/>
          <w:lang w:eastAsia="fr-FR"/>
        </w:rPr>
        <w:t xml:space="preserve"> de la loi du 9 décembre 1905 sous les seules restrictions imposées dans l’intérêt de l’ordre public, le fait que certaines des activités de l’association pourraient porter atteinte à l’ordre public s’oppose à ce que ladite association bénéficie du statut d’association cultuelle et, par suite, prétende à l’exemption de la taxe foncière sur les propriétés bâties.</w:t>
      </w:r>
    </w:p>
    <w:p w14:paraId="2BA86628" w14:textId="7778360C"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S’il appartient au Conseil d’</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 xml:space="preserve">tat, dans le cadre de la procédure prévue par l’article 12 de la loi du 31 décembre 1987 précité, de formuler un avis sur une question de droit nouvelle, il ne lui appartient pas de trancher l’affaire au fond et, par suite, d’apprécier si, en l’espèce, l’ASSOCIATION LOCALE POUR LE CULTE DES TEMOINS DE JEHOVAH DE RIOM peut être qualifiée d’association cultuelle au sens des dispositions du 4° de l’article </w:t>
      </w:r>
      <w:hyperlink r:id="rId16" w:history="1">
        <w:r w:rsidRPr="0010043A">
          <w:rPr>
            <w:rFonts w:ascii="Arial Narrow" w:eastAsia="Times New Roman" w:hAnsi="Arial Narrow" w:cs="Times New Roman"/>
            <w:color w:val="0000FF"/>
            <w:u w:val="single"/>
            <w:lang w:eastAsia="fr-FR"/>
          </w:rPr>
          <w:t>1382</w:t>
        </w:r>
      </w:hyperlink>
      <w:r w:rsidRPr="0010043A">
        <w:rPr>
          <w:rFonts w:ascii="Arial Narrow" w:eastAsia="Times New Roman" w:hAnsi="Arial Narrow" w:cs="Times New Roman"/>
          <w:lang w:eastAsia="fr-FR"/>
        </w:rPr>
        <w:t xml:space="preserve"> du code général des impôts et de la loi du 9 décembre 1905 concernant la séparation des </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glises et de l’</w:t>
      </w:r>
      <w:r>
        <w:rPr>
          <w:rFonts w:ascii="Arial Narrow" w:eastAsia="Times New Roman" w:hAnsi="Arial Narrow" w:cs="Times New Roman"/>
          <w:lang w:eastAsia="fr-FR"/>
        </w:rPr>
        <w:t>É</w:t>
      </w:r>
      <w:r w:rsidRPr="0010043A">
        <w:rPr>
          <w:rFonts w:ascii="Arial Narrow" w:eastAsia="Times New Roman" w:hAnsi="Arial Narrow" w:cs="Times New Roman"/>
          <w:lang w:eastAsia="fr-FR"/>
        </w:rPr>
        <w:t>tat.</w:t>
      </w:r>
    </w:p>
    <w:p w14:paraId="7663D3DC" w14:textId="59BE6DA2" w:rsidR="0010043A" w:rsidRPr="0010043A" w:rsidRDefault="0010043A" w:rsidP="0010043A">
      <w:pPr>
        <w:spacing w:before="120" w:after="0" w:line="240" w:lineRule="auto"/>
        <w:jc w:val="both"/>
        <w:rPr>
          <w:rFonts w:ascii="Arial Narrow" w:eastAsia="Times New Roman" w:hAnsi="Arial Narrow" w:cs="Times New Roman"/>
          <w:lang w:eastAsia="fr-FR"/>
        </w:rPr>
      </w:pPr>
      <w:r w:rsidRPr="0010043A">
        <w:rPr>
          <w:rFonts w:ascii="Arial Narrow" w:eastAsia="Times New Roman" w:hAnsi="Arial Narrow" w:cs="Times New Roman"/>
          <w:lang w:eastAsia="fr-FR"/>
        </w:rPr>
        <w:t>Le présent avis sera notifié au président du tribunal administratif de Clermont</w:t>
      </w:r>
      <w:r>
        <w:rPr>
          <w:rFonts w:ascii="Arial Narrow" w:eastAsia="Times New Roman" w:hAnsi="Arial Narrow" w:cs="Times New Roman"/>
          <w:lang w:eastAsia="fr-FR"/>
        </w:rPr>
        <w:t>-</w:t>
      </w:r>
      <w:r w:rsidRPr="0010043A">
        <w:rPr>
          <w:rFonts w:ascii="Arial Narrow" w:eastAsia="Times New Roman" w:hAnsi="Arial Narrow" w:cs="Times New Roman"/>
          <w:lang w:eastAsia="fr-FR"/>
        </w:rPr>
        <w:t>Ferrand, à l’ASSOCIATION LOCALE POUR LE CULTE DES TEMOINS DE JEHOVAH DE RIOM, au ministre de l’économie, des finances et de l’industrie et au ministre de l’intérieur.</w:t>
      </w:r>
    </w:p>
    <w:p w14:paraId="2CB3E1B0" w14:textId="77777777" w:rsidR="008836A7" w:rsidRPr="0010043A" w:rsidRDefault="0010043A" w:rsidP="0010043A">
      <w:pPr>
        <w:spacing w:before="120" w:after="0"/>
        <w:jc w:val="both"/>
        <w:rPr>
          <w:rFonts w:ascii="Arial Narrow" w:hAnsi="Arial Narrow"/>
        </w:rPr>
      </w:pPr>
    </w:p>
    <w:p w14:paraId="140F1454" w14:textId="77777777" w:rsidR="0010043A" w:rsidRPr="0010043A" w:rsidRDefault="0010043A">
      <w:pPr>
        <w:spacing w:before="120" w:after="0"/>
        <w:rPr>
          <w:rFonts w:ascii="Arial Narrow" w:hAnsi="Arial Narrow"/>
        </w:rPr>
      </w:pPr>
    </w:p>
    <w:sectPr w:rsidR="0010043A" w:rsidRPr="00100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55BA2"/>
    <w:multiLevelType w:val="multilevel"/>
    <w:tmpl w:val="443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1664B"/>
    <w:multiLevelType w:val="multilevel"/>
    <w:tmpl w:val="2E1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717F8"/>
    <w:multiLevelType w:val="multilevel"/>
    <w:tmpl w:val="915A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D3A1D"/>
    <w:multiLevelType w:val="multilevel"/>
    <w:tmpl w:val="3C4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F598E"/>
    <w:multiLevelType w:val="multilevel"/>
    <w:tmpl w:val="C33C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3A"/>
    <w:rsid w:val="0010043A"/>
    <w:rsid w:val="009F5E95"/>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879A"/>
  <w15:chartTrackingRefBased/>
  <w15:docId w15:val="{8AC964AF-90A8-4DE9-9749-DE1D2D7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0043A"/>
    <w:rPr>
      <w:color w:val="0563C1" w:themeColor="hyperlink"/>
      <w:u w:val="single"/>
    </w:rPr>
  </w:style>
  <w:style w:type="character" w:styleId="Mentionnonrsolue">
    <w:name w:val="Unresolved Mention"/>
    <w:basedOn w:val="Policepardfaut"/>
    <w:uiPriority w:val="99"/>
    <w:semiHidden/>
    <w:unhideWhenUsed/>
    <w:rsid w:val="0010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058929">
      <w:bodyDiv w:val="1"/>
      <w:marLeft w:val="0"/>
      <w:marRight w:val="0"/>
      <w:marTop w:val="0"/>
      <w:marBottom w:val="0"/>
      <w:divBdr>
        <w:top w:val="none" w:sz="0" w:space="0" w:color="auto"/>
        <w:left w:val="none" w:sz="0" w:space="0" w:color="auto"/>
        <w:bottom w:val="none" w:sz="0" w:space="0" w:color="auto"/>
        <w:right w:val="none" w:sz="0" w:space="0" w:color="auto"/>
      </w:divBdr>
      <w:divsChild>
        <w:div w:id="611861474">
          <w:marLeft w:val="0"/>
          <w:marRight w:val="0"/>
          <w:marTop w:val="0"/>
          <w:marBottom w:val="0"/>
          <w:divBdr>
            <w:top w:val="none" w:sz="0" w:space="0" w:color="auto"/>
            <w:left w:val="none" w:sz="0" w:space="0" w:color="auto"/>
            <w:bottom w:val="none" w:sz="0" w:space="0" w:color="auto"/>
            <w:right w:val="none" w:sz="0" w:space="0" w:color="auto"/>
          </w:divBdr>
          <w:divsChild>
            <w:div w:id="244726435">
              <w:marLeft w:val="0"/>
              <w:marRight w:val="0"/>
              <w:marTop w:val="0"/>
              <w:marBottom w:val="0"/>
              <w:divBdr>
                <w:top w:val="none" w:sz="0" w:space="0" w:color="auto"/>
                <w:left w:val="none" w:sz="0" w:space="0" w:color="auto"/>
                <w:bottom w:val="none" w:sz="0" w:space="0" w:color="auto"/>
                <w:right w:val="none" w:sz="0" w:space="0" w:color="auto"/>
              </w:divBdr>
            </w:div>
          </w:divsChild>
        </w:div>
        <w:div w:id="178666319">
          <w:marLeft w:val="0"/>
          <w:marRight w:val="0"/>
          <w:marTop w:val="0"/>
          <w:marBottom w:val="0"/>
          <w:divBdr>
            <w:top w:val="none" w:sz="0" w:space="0" w:color="auto"/>
            <w:left w:val="none" w:sz="0" w:space="0" w:color="auto"/>
            <w:bottom w:val="none" w:sz="0" w:space="0" w:color="auto"/>
            <w:right w:val="none" w:sz="0" w:space="0" w:color="auto"/>
          </w:divBdr>
        </w:div>
        <w:div w:id="258223610">
          <w:marLeft w:val="0"/>
          <w:marRight w:val="0"/>
          <w:marTop w:val="0"/>
          <w:marBottom w:val="0"/>
          <w:divBdr>
            <w:top w:val="none" w:sz="0" w:space="0" w:color="auto"/>
            <w:left w:val="none" w:sz="0" w:space="0" w:color="auto"/>
            <w:bottom w:val="none" w:sz="0" w:space="0" w:color="auto"/>
            <w:right w:val="none" w:sz="0" w:space="0" w:color="auto"/>
          </w:divBdr>
          <w:divsChild>
            <w:div w:id="424427895">
              <w:marLeft w:val="0"/>
              <w:marRight w:val="0"/>
              <w:marTop w:val="0"/>
              <w:marBottom w:val="0"/>
              <w:divBdr>
                <w:top w:val="none" w:sz="0" w:space="0" w:color="auto"/>
                <w:left w:val="none" w:sz="0" w:space="0" w:color="auto"/>
                <w:bottom w:val="none" w:sz="0" w:space="0" w:color="auto"/>
                <w:right w:val="none" w:sz="0" w:space="0" w:color="auto"/>
              </w:divBdr>
              <w:divsChild>
                <w:div w:id="80301247">
                  <w:marLeft w:val="0"/>
                  <w:marRight w:val="0"/>
                  <w:marTop w:val="0"/>
                  <w:marBottom w:val="0"/>
                  <w:divBdr>
                    <w:top w:val="none" w:sz="0" w:space="0" w:color="auto"/>
                    <w:left w:val="none" w:sz="0" w:space="0" w:color="auto"/>
                    <w:bottom w:val="none" w:sz="0" w:space="0" w:color="auto"/>
                    <w:right w:val="none" w:sz="0" w:space="0" w:color="auto"/>
                  </w:divBdr>
                </w:div>
                <w:div w:id="586501239">
                  <w:marLeft w:val="0"/>
                  <w:marRight w:val="0"/>
                  <w:marTop w:val="0"/>
                  <w:marBottom w:val="0"/>
                  <w:divBdr>
                    <w:top w:val="none" w:sz="0" w:space="0" w:color="auto"/>
                    <w:left w:val="none" w:sz="0" w:space="0" w:color="auto"/>
                    <w:bottom w:val="none" w:sz="0" w:space="0" w:color="auto"/>
                    <w:right w:val="none" w:sz="0" w:space="0" w:color="auto"/>
                  </w:divBdr>
                </w:div>
              </w:divsChild>
            </w:div>
            <w:div w:id="990523516">
              <w:marLeft w:val="0"/>
              <w:marRight w:val="0"/>
              <w:marTop w:val="0"/>
              <w:marBottom w:val="0"/>
              <w:divBdr>
                <w:top w:val="none" w:sz="0" w:space="0" w:color="auto"/>
                <w:left w:val="none" w:sz="0" w:space="0" w:color="auto"/>
                <w:bottom w:val="none" w:sz="0" w:space="0" w:color="auto"/>
                <w:right w:val="none" w:sz="0" w:space="0" w:color="auto"/>
              </w:divBdr>
            </w:div>
          </w:divsChild>
        </w:div>
        <w:div w:id="1106929184">
          <w:marLeft w:val="0"/>
          <w:marRight w:val="0"/>
          <w:marTop w:val="0"/>
          <w:marBottom w:val="0"/>
          <w:divBdr>
            <w:top w:val="none" w:sz="0" w:space="0" w:color="auto"/>
            <w:left w:val="none" w:sz="0" w:space="0" w:color="auto"/>
            <w:bottom w:val="none" w:sz="0" w:space="0" w:color="auto"/>
            <w:right w:val="none" w:sz="0" w:space="0" w:color="auto"/>
          </w:divBdr>
          <w:divsChild>
            <w:div w:id="491797149">
              <w:marLeft w:val="0"/>
              <w:marRight w:val="0"/>
              <w:marTop w:val="0"/>
              <w:marBottom w:val="0"/>
              <w:divBdr>
                <w:top w:val="none" w:sz="0" w:space="0" w:color="auto"/>
                <w:left w:val="none" w:sz="0" w:space="0" w:color="auto"/>
                <w:bottom w:val="none" w:sz="0" w:space="0" w:color="auto"/>
                <w:right w:val="none" w:sz="0" w:space="0" w:color="auto"/>
              </w:divBdr>
              <w:divsChild>
                <w:div w:id="220210076">
                  <w:marLeft w:val="0"/>
                  <w:marRight w:val="0"/>
                  <w:marTop w:val="0"/>
                  <w:marBottom w:val="0"/>
                  <w:divBdr>
                    <w:top w:val="none" w:sz="0" w:space="0" w:color="auto"/>
                    <w:left w:val="none" w:sz="0" w:space="0" w:color="auto"/>
                    <w:bottom w:val="none" w:sz="0" w:space="0" w:color="auto"/>
                    <w:right w:val="none" w:sz="0" w:space="0" w:color="auto"/>
                  </w:divBdr>
                </w:div>
                <w:div w:id="1844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1636">
          <w:marLeft w:val="0"/>
          <w:marRight w:val="0"/>
          <w:marTop w:val="0"/>
          <w:marBottom w:val="0"/>
          <w:divBdr>
            <w:top w:val="none" w:sz="0" w:space="0" w:color="auto"/>
            <w:left w:val="none" w:sz="0" w:space="0" w:color="auto"/>
            <w:bottom w:val="none" w:sz="0" w:space="0" w:color="auto"/>
            <w:right w:val="none" w:sz="0" w:space="0" w:color="auto"/>
          </w:divBdr>
          <w:divsChild>
            <w:div w:id="494958124">
              <w:marLeft w:val="0"/>
              <w:marRight w:val="0"/>
              <w:marTop w:val="0"/>
              <w:marBottom w:val="0"/>
              <w:divBdr>
                <w:top w:val="none" w:sz="0" w:space="0" w:color="auto"/>
                <w:left w:val="none" w:sz="0" w:space="0" w:color="auto"/>
                <w:bottom w:val="none" w:sz="0" w:space="0" w:color="auto"/>
                <w:right w:val="none" w:sz="0" w:space="0" w:color="auto"/>
              </w:divBdr>
              <w:divsChild>
                <w:div w:id="1232613932">
                  <w:marLeft w:val="0"/>
                  <w:marRight w:val="0"/>
                  <w:marTop w:val="0"/>
                  <w:marBottom w:val="0"/>
                  <w:divBdr>
                    <w:top w:val="none" w:sz="0" w:space="0" w:color="auto"/>
                    <w:left w:val="none" w:sz="0" w:space="0" w:color="auto"/>
                    <w:bottom w:val="none" w:sz="0" w:space="0" w:color="auto"/>
                    <w:right w:val="none" w:sz="0" w:space="0" w:color="auto"/>
                  </w:divBdr>
                </w:div>
                <w:div w:id="20370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3022">
          <w:marLeft w:val="0"/>
          <w:marRight w:val="0"/>
          <w:marTop w:val="0"/>
          <w:marBottom w:val="0"/>
          <w:divBdr>
            <w:top w:val="none" w:sz="0" w:space="0" w:color="auto"/>
            <w:left w:val="none" w:sz="0" w:space="0" w:color="auto"/>
            <w:bottom w:val="none" w:sz="0" w:space="0" w:color="auto"/>
            <w:right w:val="none" w:sz="0" w:space="0" w:color="auto"/>
          </w:divBdr>
          <w:divsChild>
            <w:div w:id="282929150">
              <w:marLeft w:val="0"/>
              <w:marRight w:val="0"/>
              <w:marTop w:val="0"/>
              <w:marBottom w:val="0"/>
              <w:divBdr>
                <w:top w:val="none" w:sz="0" w:space="0" w:color="auto"/>
                <w:left w:val="none" w:sz="0" w:space="0" w:color="auto"/>
                <w:bottom w:val="none" w:sz="0" w:space="0" w:color="auto"/>
                <w:right w:val="none" w:sz="0" w:space="0" w:color="auto"/>
              </w:divBdr>
              <w:divsChild>
                <w:div w:id="5324828">
                  <w:marLeft w:val="0"/>
                  <w:marRight w:val="0"/>
                  <w:marTop w:val="0"/>
                  <w:marBottom w:val="0"/>
                  <w:divBdr>
                    <w:top w:val="none" w:sz="0" w:space="0" w:color="auto"/>
                    <w:left w:val="none" w:sz="0" w:space="0" w:color="auto"/>
                    <w:bottom w:val="none" w:sz="0" w:space="0" w:color="auto"/>
                    <w:right w:val="none" w:sz="0" w:space="0" w:color="auto"/>
                  </w:divBdr>
                </w:div>
                <w:div w:id="14930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5521">
          <w:marLeft w:val="0"/>
          <w:marRight w:val="0"/>
          <w:marTop w:val="0"/>
          <w:marBottom w:val="0"/>
          <w:divBdr>
            <w:top w:val="none" w:sz="0" w:space="0" w:color="auto"/>
            <w:left w:val="none" w:sz="0" w:space="0" w:color="auto"/>
            <w:bottom w:val="none" w:sz="0" w:space="0" w:color="auto"/>
            <w:right w:val="none" w:sz="0" w:space="0" w:color="auto"/>
          </w:divBdr>
          <w:divsChild>
            <w:div w:id="300354927">
              <w:marLeft w:val="0"/>
              <w:marRight w:val="0"/>
              <w:marTop w:val="0"/>
              <w:marBottom w:val="0"/>
              <w:divBdr>
                <w:top w:val="none" w:sz="0" w:space="0" w:color="auto"/>
                <w:left w:val="none" w:sz="0" w:space="0" w:color="auto"/>
                <w:bottom w:val="none" w:sz="0" w:space="0" w:color="auto"/>
                <w:right w:val="none" w:sz="0" w:space="0" w:color="auto"/>
              </w:divBdr>
              <w:divsChild>
                <w:div w:id="1835339918">
                  <w:marLeft w:val="0"/>
                  <w:marRight w:val="0"/>
                  <w:marTop w:val="0"/>
                  <w:marBottom w:val="0"/>
                  <w:divBdr>
                    <w:top w:val="none" w:sz="0" w:space="0" w:color="auto"/>
                    <w:left w:val="none" w:sz="0" w:space="0" w:color="auto"/>
                    <w:bottom w:val="none" w:sz="0" w:space="0" w:color="auto"/>
                    <w:right w:val="none" w:sz="0" w:space="0" w:color="auto"/>
                  </w:divBdr>
                </w:div>
                <w:div w:id="244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2993">
          <w:marLeft w:val="0"/>
          <w:marRight w:val="0"/>
          <w:marTop w:val="0"/>
          <w:marBottom w:val="0"/>
          <w:divBdr>
            <w:top w:val="none" w:sz="0" w:space="0" w:color="auto"/>
            <w:left w:val="none" w:sz="0" w:space="0" w:color="auto"/>
            <w:bottom w:val="none" w:sz="0" w:space="0" w:color="auto"/>
            <w:right w:val="none" w:sz="0" w:space="0" w:color="auto"/>
          </w:divBdr>
          <w:divsChild>
            <w:div w:id="586959996">
              <w:marLeft w:val="0"/>
              <w:marRight w:val="0"/>
              <w:marTop w:val="0"/>
              <w:marBottom w:val="0"/>
              <w:divBdr>
                <w:top w:val="none" w:sz="0" w:space="0" w:color="auto"/>
                <w:left w:val="none" w:sz="0" w:space="0" w:color="auto"/>
                <w:bottom w:val="none" w:sz="0" w:space="0" w:color="auto"/>
                <w:right w:val="none" w:sz="0" w:space="0" w:color="auto"/>
              </w:divBdr>
              <w:divsChild>
                <w:div w:id="1096293618">
                  <w:marLeft w:val="0"/>
                  <w:marRight w:val="0"/>
                  <w:marTop w:val="0"/>
                  <w:marBottom w:val="0"/>
                  <w:divBdr>
                    <w:top w:val="none" w:sz="0" w:space="0" w:color="auto"/>
                    <w:left w:val="none" w:sz="0" w:space="0" w:color="auto"/>
                    <w:bottom w:val="none" w:sz="0" w:space="0" w:color="auto"/>
                    <w:right w:val="none" w:sz="0" w:space="0" w:color="auto"/>
                  </w:divBdr>
                </w:div>
                <w:div w:id="17526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28295">
          <w:marLeft w:val="0"/>
          <w:marRight w:val="0"/>
          <w:marTop w:val="0"/>
          <w:marBottom w:val="0"/>
          <w:divBdr>
            <w:top w:val="none" w:sz="0" w:space="0" w:color="auto"/>
            <w:left w:val="none" w:sz="0" w:space="0" w:color="auto"/>
            <w:bottom w:val="none" w:sz="0" w:space="0" w:color="auto"/>
            <w:right w:val="none" w:sz="0" w:space="0" w:color="auto"/>
          </w:divBdr>
          <w:divsChild>
            <w:div w:id="362021407">
              <w:marLeft w:val="0"/>
              <w:marRight w:val="0"/>
              <w:marTop w:val="0"/>
              <w:marBottom w:val="0"/>
              <w:divBdr>
                <w:top w:val="none" w:sz="0" w:space="0" w:color="auto"/>
                <w:left w:val="none" w:sz="0" w:space="0" w:color="auto"/>
                <w:bottom w:val="none" w:sz="0" w:space="0" w:color="auto"/>
                <w:right w:val="none" w:sz="0" w:space="0" w:color="auto"/>
              </w:divBdr>
              <w:divsChild>
                <w:div w:id="1577860875">
                  <w:marLeft w:val="0"/>
                  <w:marRight w:val="0"/>
                  <w:marTop w:val="0"/>
                  <w:marBottom w:val="0"/>
                  <w:divBdr>
                    <w:top w:val="none" w:sz="0" w:space="0" w:color="auto"/>
                    <w:left w:val="none" w:sz="0" w:space="0" w:color="auto"/>
                    <w:bottom w:val="none" w:sz="0" w:space="0" w:color="auto"/>
                    <w:right w:val="none" w:sz="0" w:space="0" w:color="auto"/>
                  </w:divBdr>
                </w:div>
                <w:div w:id="5903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3072">
          <w:marLeft w:val="0"/>
          <w:marRight w:val="0"/>
          <w:marTop w:val="0"/>
          <w:marBottom w:val="0"/>
          <w:divBdr>
            <w:top w:val="none" w:sz="0" w:space="0" w:color="auto"/>
            <w:left w:val="none" w:sz="0" w:space="0" w:color="auto"/>
            <w:bottom w:val="none" w:sz="0" w:space="0" w:color="auto"/>
            <w:right w:val="none" w:sz="0" w:space="0" w:color="auto"/>
          </w:divBdr>
          <w:divsChild>
            <w:div w:id="406339685">
              <w:marLeft w:val="0"/>
              <w:marRight w:val="0"/>
              <w:marTop w:val="0"/>
              <w:marBottom w:val="0"/>
              <w:divBdr>
                <w:top w:val="none" w:sz="0" w:space="0" w:color="auto"/>
                <w:left w:val="none" w:sz="0" w:space="0" w:color="auto"/>
                <w:bottom w:val="none" w:sz="0" w:space="0" w:color="auto"/>
                <w:right w:val="none" w:sz="0" w:space="0" w:color="auto"/>
              </w:divBdr>
              <w:divsChild>
                <w:div w:id="524446208">
                  <w:marLeft w:val="0"/>
                  <w:marRight w:val="0"/>
                  <w:marTop w:val="0"/>
                  <w:marBottom w:val="0"/>
                  <w:divBdr>
                    <w:top w:val="none" w:sz="0" w:space="0" w:color="auto"/>
                    <w:left w:val="none" w:sz="0" w:space="0" w:color="auto"/>
                    <w:bottom w:val="none" w:sz="0" w:space="0" w:color="auto"/>
                    <w:right w:val="none" w:sz="0" w:space="0" w:color="auto"/>
                  </w:divBdr>
                </w:div>
                <w:div w:id="18322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02094">
          <w:marLeft w:val="0"/>
          <w:marRight w:val="0"/>
          <w:marTop w:val="0"/>
          <w:marBottom w:val="0"/>
          <w:divBdr>
            <w:top w:val="none" w:sz="0" w:space="0" w:color="auto"/>
            <w:left w:val="none" w:sz="0" w:space="0" w:color="auto"/>
            <w:bottom w:val="none" w:sz="0" w:space="0" w:color="auto"/>
            <w:right w:val="none" w:sz="0" w:space="0" w:color="auto"/>
          </w:divBdr>
          <w:divsChild>
            <w:div w:id="624121140">
              <w:marLeft w:val="0"/>
              <w:marRight w:val="0"/>
              <w:marTop w:val="0"/>
              <w:marBottom w:val="0"/>
              <w:divBdr>
                <w:top w:val="none" w:sz="0" w:space="0" w:color="auto"/>
                <w:left w:val="none" w:sz="0" w:space="0" w:color="auto"/>
                <w:bottom w:val="none" w:sz="0" w:space="0" w:color="auto"/>
                <w:right w:val="none" w:sz="0" w:space="0" w:color="auto"/>
              </w:divBdr>
              <w:divsChild>
                <w:div w:id="546337402">
                  <w:marLeft w:val="0"/>
                  <w:marRight w:val="0"/>
                  <w:marTop w:val="0"/>
                  <w:marBottom w:val="0"/>
                  <w:divBdr>
                    <w:top w:val="none" w:sz="0" w:space="0" w:color="auto"/>
                    <w:left w:val="none" w:sz="0" w:space="0" w:color="auto"/>
                    <w:bottom w:val="none" w:sz="0" w:space="0" w:color="auto"/>
                    <w:right w:val="none" w:sz="0" w:space="0" w:color="auto"/>
                  </w:divBdr>
                </w:div>
                <w:div w:id="14475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55976">
          <w:marLeft w:val="0"/>
          <w:marRight w:val="0"/>
          <w:marTop w:val="0"/>
          <w:marBottom w:val="0"/>
          <w:divBdr>
            <w:top w:val="none" w:sz="0" w:space="0" w:color="auto"/>
            <w:left w:val="none" w:sz="0" w:space="0" w:color="auto"/>
            <w:bottom w:val="none" w:sz="0" w:space="0" w:color="auto"/>
            <w:right w:val="none" w:sz="0" w:space="0" w:color="auto"/>
          </w:divBdr>
          <w:divsChild>
            <w:div w:id="115174378">
              <w:marLeft w:val="0"/>
              <w:marRight w:val="0"/>
              <w:marTop w:val="0"/>
              <w:marBottom w:val="0"/>
              <w:divBdr>
                <w:top w:val="none" w:sz="0" w:space="0" w:color="auto"/>
                <w:left w:val="none" w:sz="0" w:space="0" w:color="auto"/>
                <w:bottom w:val="none" w:sz="0" w:space="0" w:color="auto"/>
                <w:right w:val="none" w:sz="0" w:space="0" w:color="auto"/>
              </w:divBdr>
              <w:divsChild>
                <w:div w:id="352803975">
                  <w:marLeft w:val="0"/>
                  <w:marRight w:val="0"/>
                  <w:marTop w:val="0"/>
                  <w:marBottom w:val="0"/>
                  <w:divBdr>
                    <w:top w:val="none" w:sz="0" w:space="0" w:color="auto"/>
                    <w:left w:val="none" w:sz="0" w:space="0" w:color="auto"/>
                    <w:bottom w:val="none" w:sz="0" w:space="0" w:color="auto"/>
                    <w:right w:val="none" w:sz="0" w:space="0" w:color="auto"/>
                  </w:divBdr>
                </w:div>
                <w:div w:id="15380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4628">
          <w:marLeft w:val="0"/>
          <w:marRight w:val="0"/>
          <w:marTop w:val="0"/>
          <w:marBottom w:val="0"/>
          <w:divBdr>
            <w:top w:val="none" w:sz="0" w:space="0" w:color="auto"/>
            <w:left w:val="none" w:sz="0" w:space="0" w:color="auto"/>
            <w:bottom w:val="none" w:sz="0" w:space="0" w:color="auto"/>
            <w:right w:val="none" w:sz="0" w:space="0" w:color="auto"/>
          </w:divBdr>
          <w:divsChild>
            <w:div w:id="1772775403">
              <w:marLeft w:val="0"/>
              <w:marRight w:val="0"/>
              <w:marTop w:val="0"/>
              <w:marBottom w:val="0"/>
              <w:divBdr>
                <w:top w:val="none" w:sz="0" w:space="0" w:color="auto"/>
                <w:left w:val="none" w:sz="0" w:space="0" w:color="auto"/>
                <w:bottom w:val="none" w:sz="0" w:space="0" w:color="auto"/>
                <w:right w:val="none" w:sz="0" w:space="0" w:color="auto"/>
              </w:divBdr>
            </w:div>
          </w:divsChild>
        </w:div>
        <w:div w:id="246502824">
          <w:marLeft w:val="0"/>
          <w:marRight w:val="0"/>
          <w:marTop w:val="0"/>
          <w:marBottom w:val="0"/>
          <w:divBdr>
            <w:top w:val="none" w:sz="0" w:space="0" w:color="auto"/>
            <w:left w:val="none" w:sz="0" w:space="0" w:color="auto"/>
            <w:bottom w:val="none" w:sz="0" w:space="0" w:color="auto"/>
            <w:right w:val="none" w:sz="0" w:space="0" w:color="auto"/>
          </w:divBdr>
          <w:divsChild>
            <w:div w:id="1461074074">
              <w:marLeft w:val="0"/>
              <w:marRight w:val="0"/>
              <w:marTop w:val="0"/>
              <w:marBottom w:val="0"/>
              <w:divBdr>
                <w:top w:val="none" w:sz="0" w:space="0" w:color="auto"/>
                <w:left w:val="none" w:sz="0" w:space="0" w:color="auto"/>
                <w:bottom w:val="none" w:sz="0" w:space="0" w:color="auto"/>
                <w:right w:val="none" w:sz="0" w:space="0" w:color="auto"/>
              </w:divBdr>
              <w:divsChild>
                <w:div w:id="2367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2012">
          <w:marLeft w:val="0"/>
          <w:marRight w:val="0"/>
          <w:marTop w:val="0"/>
          <w:marBottom w:val="0"/>
          <w:divBdr>
            <w:top w:val="none" w:sz="0" w:space="0" w:color="auto"/>
            <w:left w:val="none" w:sz="0" w:space="0" w:color="auto"/>
            <w:bottom w:val="none" w:sz="0" w:space="0" w:color="auto"/>
            <w:right w:val="none" w:sz="0" w:space="0" w:color="auto"/>
          </w:divBdr>
          <w:divsChild>
            <w:div w:id="7944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rine.fr/d/CE/1997/CEW:FR:CEASS:1997:187122.19971024" TargetMode="External"/><Relationship Id="rId13" Type="http://schemas.openxmlformats.org/officeDocument/2006/relationships/hyperlink" Target="https://www.doctrine.fr/d/CE/1997/CEW:FR:CEASS:1997:187122.199710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s://www.doctrine.fr/d/CE/1997/CEW:FR:CEASS:1997:187122.199710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ctrine.fr/d/CE/1997/CEW:FR:CEASS:1997:187122.19971024"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doctrine.fr/d/CE/1997/CEW:FR:CEASS:1997:187122.19971024" TargetMode="External"/><Relationship Id="rId5" Type="http://schemas.openxmlformats.org/officeDocument/2006/relationships/hyperlink" Target="https://www.doctrine.fr/d/CE/1997/CEW:FR:CEASS:1997:187122.19971024" TargetMode="External"/><Relationship Id="rId15" Type="http://schemas.openxmlformats.org/officeDocument/2006/relationships/hyperlink" Target="https://www.doctrine.fr/d/CE/1997/CEW:FR:CEASS:1997:187122.19971024" TargetMode="External"/><Relationship Id="rId10" Type="http://schemas.openxmlformats.org/officeDocument/2006/relationships/hyperlink" Target="https://www.doctrine.fr/d/CE/1997/CEW:FR:CEASS:1997:187122.19971024" TargetMode="External"/><Relationship Id="rId4" Type="http://schemas.openxmlformats.org/officeDocument/2006/relationships/webSettings" Target="webSettings.xml"/><Relationship Id="rId9" Type="http://schemas.openxmlformats.org/officeDocument/2006/relationships/hyperlink" Target="https://www.doctrine.fr/d/CE/1997/CEW:FR:CEASS:1997:187122.19971024" TargetMode="External"/><Relationship Id="rId14" Type="http://schemas.openxmlformats.org/officeDocument/2006/relationships/hyperlink" Target="https://www.doctrine.fr/d/CE/1997/CEW:FR:CEASS:1997:187122.1997102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1316</Words>
  <Characters>7242</Characters>
  <Application>Microsoft Office Word</Application>
  <DocSecurity>0</DocSecurity>
  <Lines>60</Lines>
  <Paragraphs>17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cp:revision>
  <dcterms:created xsi:type="dcterms:W3CDTF">2021-02-08T21:38:00Z</dcterms:created>
  <dcterms:modified xsi:type="dcterms:W3CDTF">2021-02-08T21:48:00Z</dcterms:modified>
</cp:coreProperties>
</file>