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3A1D6" w14:textId="77777777" w:rsidR="00A92449" w:rsidRDefault="00A92449" w:rsidP="00E57A83">
      <w:pPr>
        <w:widowControl w:val="0"/>
        <w:autoSpaceDE w:val="0"/>
        <w:autoSpaceDN w:val="0"/>
        <w:adjustRightInd w:val="0"/>
        <w:spacing w:before="60" w:after="0" w:line="240" w:lineRule="auto"/>
        <w:rPr>
          <w:rFonts w:ascii="Arial" w:hAnsi="Arial" w:cs="Arial"/>
          <w:sz w:val="24"/>
          <w:szCs w:val="24"/>
        </w:rPr>
      </w:pPr>
      <w:r>
        <w:rPr>
          <w:rFonts w:ascii="Arial" w:hAnsi="Arial" w:cs="Arial"/>
          <w:b/>
          <w:bCs/>
          <w:sz w:val="24"/>
          <w:szCs w:val="24"/>
        </w:rPr>
        <w:t>Cour de cassation</w:t>
      </w:r>
      <w:r>
        <w:rPr>
          <w:rFonts w:ascii="Arial" w:hAnsi="Arial" w:cs="Arial"/>
          <w:sz w:val="24"/>
          <w:szCs w:val="24"/>
        </w:rPr>
        <w:t xml:space="preserve"> </w:t>
      </w:r>
    </w:p>
    <w:p w14:paraId="590199D4" w14:textId="77777777" w:rsidR="00A92449" w:rsidRDefault="00A92449" w:rsidP="00E57A83">
      <w:pPr>
        <w:widowControl w:val="0"/>
        <w:autoSpaceDE w:val="0"/>
        <w:autoSpaceDN w:val="0"/>
        <w:adjustRightInd w:val="0"/>
        <w:spacing w:before="60" w:after="0" w:line="240" w:lineRule="auto"/>
        <w:rPr>
          <w:rFonts w:ascii="Arial" w:hAnsi="Arial" w:cs="Arial"/>
          <w:sz w:val="24"/>
          <w:szCs w:val="24"/>
        </w:rPr>
      </w:pPr>
      <w:r>
        <w:rPr>
          <w:rFonts w:ascii="Arial" w:hAnsi="Arial" w:cs="Arial"/>
          <w:b/>
          <w:bCs/>
          <w:sz w:val="24"/>
          <w:szCs w:val="24"/>
        </w:rPr>
        <w:t>chambre civile 2</w:t>
      </w:r>
      <w:r>
        <w:rPr>
          <w:rFonts w:ascii="Arial" w:hAnsi="Arial" w:cs="Arial"/>
          <w:sz w:val="24"/>
          <w:szCs w:val="24"/>
        </w:rPr>
        <w:t xml:space="preserve"> </w:t>
      </w:r>
    </w:p>
    <w:p w14:paraId="50ED8BA7" w14:textId="77777777" w:rsidR="00A92449" w:rsidRDefault="00A92449" w:rsidP="00E57A83">
      <w:pPr>
        <w:widowControl w:val="0"/>
        <w:autoSpaceDE w:val="0"/>
        <w:autoSpaceDN w:val="0"/>
        <w:adjustRightInd w:val="0"/>
        <w:spacing w:before="60" w:after="0" w:line="240" w:lineRule="auto"/>
        <w:rPr>
          <w:rFonts w:ascii="Arial" w:hAnsi="Arial" w:cs="Arial"/>
          <w:sz w:val="24"/>
          <w:szCs w:val="24"/>
        </w:rPr>
      </w:pPr>
      <w:r>
        <w:rPr>
          <w:rFonts w:ascii="Arial" w:hAnsi="Arial" w:cs="Arial"/>
          <w:b/>
          <w:bCs/>
          <w:sz w:val="24"/>
          <w:szCs w:val="24"/>
        </w:rPr>
        <w:t>Audience publique du 19 janvier 2006</w:t>
      </w:r>
      <w:r>
        <w:rPr>
          <w:rFonts w:ascii="Arial" w:hAnsi="Arial" w:cs="Arial"/>
          <w:sz w:val="24"/>
          <w:szCs w:val="24"/>
        </w:rPr>
        <w:t xml:space="preserve"> </w:t>
      </w:r>
    </w:p>
    <w:p w14:paraId="373DE4A6" w14:textId="77777777" w:rsidR="00A92449" w:rsidRDefault="00A92449" w:rsidP="00E57A83">
      <w:pPr>
        <w:widowControl w:val="0"/>
        <w:autoSpaceDE w:val="0"/>
        <w:autoSpaceDN w:val="0"/>
        <w:adjustRightInd w:val="0"/>
        <w:spacing w:before="60" w:after="0" w:line="240" w:lineRule="auto"/>
        <w:rPr>
          <w:rFonts w:ascii="Arial" w:hAnsi="Arial" w:cs="Arial"/>
          <w:sz w:val="24"/>
          <w:szCs w:val="24"/>
        </w:rPr>
      </w:pPr>
      <w:r>
        <w:rPr>
          <w:rFonts w:ascii="Arial" w:hAnsi="Arial" w:cs="Arial"/>
          <w:b/>
          <w:bCs/>
          <w:sz w:val="24"/>
          <w:szCs w:val="24"/>
        </w:rPr>
        <w:t xml:space="preserve">N° de </w:t>
      </w:r>
      <w:proofErr w:type="gramStart"/>
      <w:r>
        <w:rPr>
          <w:rFonts w:ascii="Arial" w:hAnsi="Arial" w:cs="Arial"/>
          <w:b/>
          <w:bCs/>
          <w:sz w:val="24"/>
          <w:szCs w:val="24"/>
        </w:rPr>
        <w:t>pourvoi:</w:t>
      </w:r>
      <w:proofErr w:type="gramEnd"/>
      <w:r>
        <w:rPr>
          <w:rFonts w:ascii="Arial" w:hAnsi="Arial" w:cs="Arial"/>
          <w:b/>
          <w:bCs/>
          <w:sz w:val="24"/>
          <w:szCs w:val="24"/>
        </w:rPr>
        <w:t xml:space="preserve"> 04-30508 </w:t>
      </w:r>
    </w:p>
    <w:p w14:paraId="3C40EAC8" w14:textId="77777777" w:rsidR="00A92449" w:rsidRDefault="00A92449" w:rsidP="00E57A83">
      <w:pPr>
        <w:widowControl w:val="0"/>
        <w:autoSpaceDE w:val="0"/>
        <w:autoSpaceDN w:val="0"/>
        <w:adjustRightInd w:val="0"/>
        <w:spacing w:before="60" w:after="0" w:line="240" w:lineRule="auto"/>
        <w:rPr>
          <w:rFonts w:ascii="Arial" w:hAnsi="Arial" w:cs="Arial"/>
          <w:sz w:val="24"/>
          <w:szCs w:val="24"/>
        </w:rPr>
      </w:pPr>
      <w:r>
        <w:rPr>
          <w:rFonts w:ascii="Arial" w:hAnsi="Arial" w:cs="Arial"/>
          <w:sz w:val="24"/>
          <w:szCs w:val="24"/>
        </w:rPr>
        <w:t>Publié au bulletin</w:t>
      </w:r>
    </w:p>
    <w:p w14:paraId="248B9538" w14:textId="77777777" w:rsidR="00A92449" w:rsidRDefault="00A92449" w:rsidP="00E57A83">
      <w:pPr>
        <w:widowControl w:val="0"/>
        <w:autoSpaceDE w:val="0"/>
        <w:autoSpaceDN w:val="0"/>
        <w:adjustRightInd w:val="0"/>
        <w:spacing w:before="60" w:after="0" w:line="240" w:lineRule="auto"/>
        <w:jc w:val="right"/>
        <w:rPr>
          <w:rFonts w:ascii="Arial" w:hAnsi="Arial" w:cs="Arial"/>
          <w:sz w:val="24"/>
          <w:szCs w:val="24"/>
        </w:rPr>
      </w:pPr>
      <w:r>
        <w:rPr>
          <w:rFonts w:ascii="Arial" w:hAnsi="Arial" w:cs="Arial"/>
          <w:b/>
          <w:bCs/>
          <w:sz w:val="24"/>
          <w:szCs w:val="24"/>
        </w:rPr>
        <w:t>Cassation.</w:t>
      </w:r>
      <w:r>
        <w:rPr>
          <w:rFonts w:ascii="Arial" w:hAnsi="Arial" w:cs="Arial"/>
          <w:sz w:val="24"/>
          <w:szCs w:val="24"/>
        </w:rPr>
        <w:t xml:space="preserve"> </w:t>
      </w:r>
    </w:p>
    <w:p w14:paraId="7F53E560" w14:textId="77777777" w:rsidR="00A92449" w:rsidRDefault="00A92449" w:rsidP="00E57A83">
      <w:pPr>
        <w:widowControl w:val="0"/>
        <w:autoSpaceDE w:val="0"/>
        <w:autoSpaceDN w:val="0"/>
        <w:adjustRightInd w:val="0"/>
        <w:spacing w:before="60" w:after="0" w:line="240" w:lineRule="auto"/>
        <w:rPr>
          <w:rFonts w:ascii="Arial" w:hAnsi="Arial" w:cs="Arial"/>
          <w:sz w:val="24"/>
          <w:szCs w:val="24"/>
        </w:rPr>
      </w:pPr>
      <w:r>
        <w:rPr>
          <w:rFonts w:ascii="Arial" w:hAnsi="Arial" w:cs="Arial"/>
          <w:b/>
          <w:bCs/>
          <w:sz w:val="24"/>
          <w:szCs w:val="24"/>
        </w:rPr>
        <w:t>Président : M. Dintilhac., président</w:t>
      </w:r>
      <w:r>
        <w:rPr>
          <w:rFonts w:ascii="Arial" w:hAnsi="Arial" w:cs="Arial"/>
          <w:sz w:val="24"/>
          <w:szCs w:val="24"/>
        </w:rPr>
        <w:t xml:space="preserve"> </w:t>
      </w:r>
    </w:p>
    <w:p w14:paraId="4A11A4AA" w14:textId="77777777" w:rsidR="00A92449" w:rsidRDefault="00A92449" w:rsidP="00E57A83">
      <w:pPr>
        <w:widowControl w:val="0"/>
        <w:autoSpaceDE w:val="0"/>
        <w:autoSpaceDN w:val="0"/>
        <w:adjustRightInd w:val="0"/>
        <w:spacing w:before="60" w:after="0" w:line="240" w:lineRule="auto"/>
        <w:rPr>
          <w:rFonts w:ascii="Arial" w:hAnsi="Arial" w:cs="Arial"/>
          <w:sz w:val="24"/>
          <w:szCs w:val="24"/>
        </w:rPr>
      </w:pPr>
      <w:r>
        <w:rPr>
          <w:rFonts w:ascii="Arial" w:hAnsi="Arial" w:cs="Arial"/>
          <w:sz w:val="24"/>
          <w:szCs w:val="24"/>
        </w:rPr>
        <w:t xml:space="preserve">Rapporteur : Mme </w:t>
      </w:r>
      <w:proofErr w:type="spellStart"/>
      <w:r>
        <w:rPr>
          <w:rFonts w:ascii="Arial" w:hAnsi="Arial" w:cs="Arial"/>
          <w:sz w:val="24"/>
          <w:szCs w:val="24"/>
        </w:rPr>
        <w:t>Duvernier</w:t>
      </w:r>
      <w:proofErr w:type="spellEnd"/>
      <w:r>
        <w:rPr>
          <w:rFonts w:ascii="Arial" w:hAnsi="Arial" w:cs="Arial"/>
          <w:sz w:val="24"/>
          <w:szCs w:val="24"/>
        </w:rPr>
        <w:t>., conseiller apporteur</w:t>
      </w:r>
    </w:p>
    <w:p w14:paraId="30A35D86" w14:textId="77777777" w:rsidR="00A92449" w:rsidRDefault="00A92449" w:rsidP="00E57A83">
      <w:pPr>
        <w:widowControl w:val="0"/>
        <w:autoSpaceDE w:val="0"/>
        <w:autoSpaceDN w:val="0"/>
        <w:adjustRightInd w:val="0"/>
        <w:spacing w:before="60" w:after="0" w:line="240" w:lineRule="auto"/>
        <w:rPr>
          <w:rFonts w:ascii="Arial" w:hAnsi="Arial" w:cs="Arial"/>
          <w:sz w:val="24"/>
          <w:szCs w:val="24"/>
        </w:rPr>
      </w:pPr>
      <w:r>
        <w:rPr>
          <w:rFonts w:ascii="Arial" w:hAnsi="Arial" w:cs="Arial"/>
          <w:sz w:val="24"/>
          <w:szCs w:val="24"/>
        </w:rPr>
        <w:t xml:space="preserve">Avocat général : Mme </w:t>
      </w:r>
      <w:proofErr w:type="spellStart"/>
      <w:r>
        <w:rPr>
          <w:rFonts w:ascii="Arial" w:hAnsi="Arial" w:cs="Arial"/>
          <w:sz w:val="24"/>
          <w:szCs w:val="24"/>
        </w:rPr>
        <w:t>Barrairon</w:t>
      </w:r>
      <w:proofErr w:type="spellEnd"/>
      <w:r>
        <w:rPr>
          <w:rFonts w:ascii="Arial" w:hAnsi="Arial" w:cs="Arial"/>
          <w:sz w:val="24"/>
          <w:szCs w:val="24"/>
        </w:rPr>
        <w:t>., avocat général</w:t>
      </w:r>
    </w:p>
    <w:p w14:paraId="084F9B61" w14:textId="77777777" w:rsidR="00A92449" w:rsidRDefault="00A92449" w:rsidP="00E57A83">
      <w:pPr>
        <w:widowControl w:val="0"/>
        <w:autoSpaceDE w:val="0"/>
        <w:autoSpaceDN w:val="0"/>
        <w:adjustRightInd w:val="0"/>
        <w:spacing w:before="60" w:after="0" w:line="240" w:lineRule="auto"/>
        <w:rPr>
          <w:rFonts w:ascii="Arial" w:hAnsi="Arial" w:cs="Arial"/>
          <w:sz w:val="24"/>
          <w:szCs w:val="24"/>
        </w:rPr>
      </w:pPr>
      <w:r>
        <w:rPr>
          <w:rFonts w:ascii="Arial" w:hAnsi="Arial" w:cs="Arial"/>
          <w:sz w:val="24"/>
          <w:szCs w:val="24"/>
        </w:rPr>
        <w:t>Avocats : SCP Ghestin, Me Foussard., avocat(s)</w:t>
      </w:r>
    </w:p>
    <w:p w14:paraId="00BC9E5D" w14:textId="77777777" w:rsidR="00A92449" w:rsidRDefault="00A92449" w:rsidP="00E57A83">
      <w:pPr>
        <w:widowControl w:val="0"/>
        <w:autoSpaceDE w:val="0"/>
        <w:autoSpaceDN w:val="0"/>
        <w:adjustRightInd w:val="0"/>
        <w:spacing w:before="60" w:after="0" w:line="240" w:lineRule="auto"/>
        <w:jc w:val="center"/>
        <w:rPr>
          <w:rFonts w:ascii="Arial" w:hAnsi="Arial" w:cs="Arial"/>
          <w:sz w:val="24"/>
          <w:szCs w:val="24"/>
        </w:rPr>
      </w:pPr>
      <w:r>
        <w:rPr>
          <w:rFonts w:ascii="Arial" w:hAnsi="Arial" w:cs="Arial"/>
          <w:b/>
          <w:bCs/>
          <w:sz w:val="24"/>
          <w:szCs w:val="24"/>
        </w:rPr>
        <w:t>REPUBLIQUE FRANCAISE</w:t>
      </w:r>
    </w:p>
    <w:p w14:paraId="1F57F9A5" w14:textId="77777777" w:rsidR="00A92449" w:rsidRDefault="00A92449" w:rsidP="00E57A83">
      <w:pPr>
        <w:widowControl w:val="0"/>
        <w:autoSpaceDE w:val="0"/>
        <w:autoSpaceDN w:val="0"/>
        <w:adjustRightInd w:val="0"/>
        <w:spacing w:before="60" w:after="0" w:line="240" w:lineRule="auto"/>
        <w:jc w:val="center"/>
        <w:rPr>
          <w:rFonts w:ascii="Arial" w:hAnsi="Arial" w:cs="Arial"/>
          <w:sz w:val="24"/>
          <w:szCs w:val="24"/>
        </w:rPr>
      </w:pPr>
      <w:r>
        <w:rPr>
          <w:rFonts w:ascii="Arial" w:hAnsi="Arial" w:cs="Arial"/>
          <w:b/>
          <w:bCs/>
          <w:sz w:val="24"/>
          <w:szCs w:val="24"/>
        </w:rPr>
        <w:t>AU NOM DU PEUPLE FRANCAIS</w:t>
      </w:r>
    </w:p>
    <w:p w14:paraId="5CBC69AE"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AU NOM DU PEUPLE FRANCAIS</w:t>
      </w:r>
    </w:p>
    <w:p w14:paraId="4DDCE00C"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LA COUR DE CASSATION, DEUXIEME CHAMBRE CIVILE, a rendu l’arrêt suivant :</w:t>
      </w:r>
    </w:p>
    <w:p w14:paraId="12AE2904"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Sur le moyen unique, pris en sa première branche :</w:t>
      </w:r>
    </w:p>
    <w:p w14:paraId="1D0D8CD3"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Vu les articles R. 142-1 et 142-7 du Code de la sécurité sociale, ensemble les articles 122 et 123 du nouveau Code de procédure civile ;</w:t>
      </w:r>
    </w:p>
    <w:p w14:paraId="59CB7324"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Attendu qu’il résulte du premier de ces textes que les décisions de la commission de recours amiable qui est l’émanation du conseil d’administration de l’organisme de sécurité sociale concerné, sont dépourvues de tout caractère juridictionnel, et, de la combinaison des trois autres, que la fin de non-recevoir tirée de la prescription peut être proposée en tout état de cause devant les juridictions du contentieux de la sécurité sociale ;</w:t>
      </w:r>
    </w:p>
    <w:p w14:paraId="24FED325"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Attendu, selon le jugement attaqué, que l’URSSAF a, les 17 et 26 juin 2003, notifié à la société Ambulances du Haut-Cantal deux mises en demeure aux fins de recouvrement des majorations de retard afférentes aux cotisations sociales dues par la société au titre des trois premiers trimestres de l’année 1996 ; que, par deux décisions du 7 novembre 2003, la commission de recours amiable a confirmé le bien-fondé de ces mises en demeure ;</w:t>
      </w:r>
    </w:p>
    <w:p w14:paraId="563F0488"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Attendu que, pour rejeter la fin de non-recevoir tirée de la prescription invoquée par la société, le jugement énonce que “la lecture de ces décisions ne laisse nullement apparaître que, dans ses recours devant la commission de recours amiable, la SARL Ambulances du Haut-Cantal a invoqué la prescription des mises en demeure”, et en déduit “qu’elle ne peut donc invoquer ce fait prétendu pour la première fois devant le tribunal, ce qui réduirait à néant le principe de la saisine préalable de la commission” ;</w:t>
      </w:r>
    </w:p>
    <w:p w14:paraId="24FE0303"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Qu’en statuant ainsi, le tribunal a violé les textes susvisés ;</w:t>
      </w:r>
    </w:p>
    <w:p w14:paraId="40DA40F7"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PAR CES MOTIFS, et sans qu’il y ait lieu de statuer sur la seconde branche du moyen :</w:t>
      </w:r>
    </w:p>
    <w:p w14:paraId="6E25729F"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CASSE ET ANNULE dans toutes ses dispositions, le jugement rendu le 18 mai 2004, entre les parties, par le tribunal des affaires de sécurité sociale d’Aurillac ; remet, en conséquence, la cause et les parties dans l’état où elles se trouvaient avant ledit jugement et, pour être fait droit, les renvoie devant le tribunal des affaires de sécurité sociale de Clermont-Ferrand ;</w:t>
      </w:r>
    </w:p>
    <w:p w14:paraId="34497662"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lastRenderedPageBreak/>
        <w:t>Condamne l’URSSAF du Cantal aux dépens ;</w:t>
      </w:r>
    </w:p>
    <w:p w14:paraId="4EE86272"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Vu l’article 700 du nouveau Code de procédure civile, rejette les demandes respectives de la société Ambulances du Haut-Cantal et de l’URSSAF du Cantal ;</w:t>
      </w:r>
    </w:p>
    <w:p w14:paraId="2477A659"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 xml:space="preserve">Dit que sur les diligences du procureur général près la Cour de </w:t>
      </w:r>
      <w:proofErr w:type="gramStart"/>
      <w:r>
        <w:rPr>
          <w:rFonts w:ascii="Arial" w:hAnsi="Arial" w:cs="Arial"/>
          <w:sz w:val="24"/>
          <w:szCs w:val="24"/>
        </w:rPr>
        <w:t>Cassation</w:t>
      </w:r>
      <w:proofErr w:type="gramEnd"/>
      <w:r>
        <w:rPr>
          <w:rFonts w:ascii="Arial" w:hAnsi="Arial" w:cs="Arial"/>
          <w:sz w:val="24"/>
          <w:szCs w:val="24"/>
        </w:rPr>
        <w:t>, le présent arrêt sera transmis pour être transcrit en marge ou à la suite du jugement cassé ;</w:t>
      </w:r>
    </w:p>
    <w:p w14:paraId="5FACB68E"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 xml:space="preserve">Ainsi fait et jugé par la Cour de </w:t>
      </w:r>
      <w:proofErr w:type="gramStart"/>
      <w:r>
        <w:rPr>
          <w:rFonts w:ascii="Arial" w:hAnsi="Arial" w:cs="Arial"/>
          <w:sz w:val="24"/>
          <w:szCs w:val="24"/>
        </w:rPr>
        <w:t>Cassation</w:t>
      </w:r>
      <w:proofErr w:type="gramEnd"/>
      <w:r>
        <w:rPr>
          <w:rFonts w:ascii="Arial" w:hAnsi="Arial" w:cs="Arial"/>
          <w:sz w:val="24"/>
          <w:szCs w:val="24"/>
        </w:rPr>
        <w:t>, Deuxième chambre civile, et prononcé par le président en son audience publique du dix-neuf janvier deux mille six.</w:t>
      </w:r>
    </w:p>
    <w:p w14:paraId="7250CB0B"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b/>
          <w:bCs/>
          <w:sz w:val="24"/>
          <w:szCs w:val="24"/>
        </w:rPr>
        <w:t xml:space="preserve">Publication : </w:t>
      </w:r>
      <w:r>
        <w:rPr>
          <w:rFonts w:ascii="Arial" w:hAnsi="Arial" w:cs="Arial"/>
          <w:sz w:val="24"/>
          <w:szCs w:val="24"/>
        </w:rPr>
        <w:t>Bulletin 2006 II N° 27 p. 23</w:t>
      </w:r>
    </w:p>
    <w:p w14:paraId="67359184"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b/>
          <w:bCs/>
          <w:sz w:val="24"/>
          <w:szCs w:val="24"/>
        </w:rPr>
        <w:t xml:space="preserve">Décision attaquée : </w:t>
      </w:r>
      <w:r>
        <w:rPr>
          <w:rFonts w:ascii="Arial" w:hAnsi="Arial" w:cs="Arial"/>
          <w:sz w:val="24"/>
          <w:szCs w:val="24"/>
        </w:rPr>
        <w:t xml:space="preserve">Tribunal des affaires de sécurité sociale </w:t>
      </w:r>
      <w:proofErr w:type="gramStart"/>
      <w:r>
        <w:rPr>
          <w:rFonts w:ascii="Arial" w:hAnsi="Arial" w:cs="Arial"/>
          <w:sz w:val="24"/>
          <w:szCs w:val="24"/>
        </w:rPr>
        <w:t>d’Aurillac ,</w:t>
      </w:r>
      <w:proofErr w:type="gramEnd"/>
      <w:r>
        <w:rPr>
          <w:rFonts w:ascii="Arial" w:hAnsi="Arial" w:cs="Arial"/>
          <w:sz w:val="24"/>
          <w:szCs w:val="24"/>
        </w:rPr>
        <w:t xml:space="preserve"> du 18 mai 2004</w:t>
      </w:r>
    </w:p>
    <w:p w14:paraId="6ED1207F"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b/>
          <w:bCs/>
          <w:sz w:val="24"/>
          <w:szCs w:val="24"/>
        </w:rPr>
        <w:t xml:space="preserve">Titrages et résumés : </w:t>
      </w:r>
      <w:r>
        <w:rPr>
          <w:rFonts w:ascii="Arial" w:hAnsi="Arial" w:cs="Arial"/>
          <w:sz w:val="24"/>
          <w:szCs w:val="24"/>
        </w:rPr>
        <w:t xml:space="preserve">1° SECURITE SOCIALE, CONTENTIEUX - Contentieux général - Procédure - Procédure gracieuse préalable - Commission de recours amiable - Nature - Détermination - Portée. </w:t>
      </w:r>
    </w:p>
    <w:p w14:paraId="1158232E"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 xml:space="preserve">1° La commission de recours amiable n’est pas une juridiction mais une émanation du conseil d’administration de l’organisme de sécurité sociale, chargée de se prononcer sur les recours gracieux, dont les décisions sont dépourvues de tout caractère juridictionnel. </w:t>
      </w:r>
    </w:p>
    <w:p w14:paraId="45117419"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 xml:space="preserve">1° SECURITE SOCIALE, CONTENTIEUX - Contentieux général - Procédure - Procédure gracieuse préalable - Commission de recours amiable - Nature - Juridiction (non) 1° SECURITE SOCIALE, CONTENTIEUX - Contentieux général - Procédure - Procédure gracieuse préalable - Commission de recours amiable - Décisions - Nature - Portée 2° PROCEDURE CIVILE - Fin de non-recevoir - Proposition - Proposition en tout état de cause - Prescription. </w:t>
      </w:r>
    </w:p>
    <w:p w14:paraId="3FF10CAA"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 xml:space="preserve">2° La fin de non-recevoir tirée de la prescription peut être proposée en tout état de cause. </w:t>
      </w:r>
    </w:p>
    <w:p w14:paraId="77455C5F"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 xml:space="preserve">2° PRESCRIPTION CIVILE - Fin de non-recevoir - Proposition - Proposition en tout état de cause - Sécurité sociale - Portée </w:t>
      </w:r>
    </w:p>
    <w:p w14:paraId="3AF8B361"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b/>
          <w:bCs/>
          <w:sz w:val="24"/>
          <w:szCs w:val="24"/>
        </w:rPr>
        <w:t xml:space="preserve">Précédents jurisprudentiels : </w:t>
      </w:r>
    </w:p>
    <w:p w14:paraId="7BC14BB1" w14:textId="77777777" w:rsidR="00A92449" w:rsidRDefault="00A92449" w:rsidP="00E57A83">
      <w:pPr>
        <w:widowControl w:val="0"/>
        <w:autoSpaceDE w:val="0"/>
        <w:autoSpaceDN w:val="0"/>
        <w:adjustRightInd w:val="0"/>
        <w:spacing w:before="240" w:after="0" w:line="240" w:lineRule="auto"/>
        <w:rPr>
          <w:rFonts w:ascii="Arial" w:hAnsi="Arial" w:cs="Arial"/>
          <w:sz w:val="24"/>
          <w:szCs w:val="24"/>
        </w:rPr>
      </w:pPr>
      <w:r>
        <w:rPr>
          <w:rFonts w:ascii="Arial" w:hAnsi="Arial" w:cs="Arial"/>
          <w:sz w:val="24"/>
          <w:szCs w:val="24"/>
        </w:rPr>
        <w:t>Sur le n° 1 : Sur la nature de la commission de recours amiable, dans le même sens que : Chambre sociale, 2001-07-12, Bulletin 2001, V, n° 269 (1), p. 216 (rejet), et l’arrêt cité.</w:t>
      </w:r>
    </w:p>
    <w:sectPr w:rsidR="00A92449">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5FBE"/>
    <w:rsid w:val="003E5FBE"/>
    <w:rsid w:val="00567002"/>
    <w:rsid w:val="00A92449"/>
    <w:rsid w:val="00E57A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FABCB"/>
  <w14:defaultImageDpi w14:val="0"/>
  <w15:docId w15:val="{BE32B19E-B1F3-4A38-B49A-86786A02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697</Words>
  <Characters>3838</Characters>
  <Application>Microsoft Office Word</Application>
  <DocSecurity>8</DocSecurity>
  <Lines>31</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AUVINET</dc:creator>
  <cp:keywords/>
  <dc:description/>
  <cp:lastModifiedBy>Joseph AUVINET</cp:lastModifiedBy>
  <cp:revision>3</cp:revision>
  <dcterms:created xsi:type="dcterms:W3CDTF">2021-07-23T19:11:00Z</dcterms:created>
  <dcterms:modified xsi:type="dcterms:W3CDTF">2021-07-23T19:23:00Z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Jan 27 12:47:54 CET 2014</vt:lpwstr>
  </property>
  <property fmtid="{D5CDD505-2E9C-101B-9397-08002B2CF9AE}" pid="3" name="jforVersion">
    <vt:lpwstr>jfor V0.7.2rc1 - see http://www.jfor.org</vt:lpwstr>
  </property>
</Properties>
</file>