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2F6BB"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Cour de cassation</w:t>
      </w:r>
      <w:r>
        <w:rPr>
          <w:rFonts w:ascii="Arial" w:hAnsi="Arial" w:cs="Arial"/>
          <w:sz w:val="24"/>
          <w:szCs w:val="24"/>
        </w:rPr>
        <w:t xml:space="preserve"> </w:t>
      </w:r>
    </w:p>
    <w:p w14:paraId="3F902100"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74ED844"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chambre civile 2</w:t>
      </w:r>
      <w:r>
        <w:rPr>
          <w:rFonts w:ascii="Arial" w:hAnsi="Arial" w:cs="Arial"/>
          <w:sz w:val="24"/>
          <w:szCs w:val="24"/>
        </w:rPr>
        <w:t xml:space="preserve"> </w:t>
      </w:r>
    </w:p>
    <w:p w14:paraId="46CB6552"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3FAD29C"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Audience publique du 22 octobre 2009</w:t>
      </w:r>
      <w:r>
        <w:rPr>
          <w:rFonts w:ascii="Arial" w:hAnsi="Arial" w:cs="Arial"/>
          <w:sz w:val="24"/>
          <w:szCs w:val="24"/>
        </w:rPr>
        <w:t xml:space="preserve"> </w:t>
      </w:r>
    </w:p>
    <w:p w14:paraId="486E59A7"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C72313C"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N° de pourvoi: 08-13656 </w:t>
      </w:r>
    </w:p>
    <w:p w14:paraId="53D7B545"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551F62E"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Publié au bulletin</w:t>
      </w:r>
    </w:p>
    <w:p w14:paraId="045DFB96"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48957CD" w14:textId="77777777" w:rsidR="00587B52" w:rsidRDefault="00565963">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4"/>
          <w:szCs w:val="24"/>
        </w:rPr>
        <w:t>Rejet</w:t>
      </w:r>
      <w:r>
        <w:rPr>
          <w:rFonts w:ascii="Arial" w:hAnsi="Arial" w:cs="Arial"/>
          <w:sz w:val="24"/>
          <w:szCs w:val="24"/>
        </w:rPr>
        <w:t xml:space="preserve"> </w:t>
      </w:r>
    </w:p>
    <w:p w14:paraId="43FA10B0"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B5F1922"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M. Gillet , président</w:t>
      </w:r>
      <w:r>
        <w:rPr>
          <w:rFonts w:ascii="Arial" w:hAnsi="Arial" w:cs="Arial"/>
          <w:sz w:val="24"/>
          <w:szCs w:val="24"/>
        </w:rPr>
        <w:t xml:space="preserve"> </w:t>
      </w:r>
    </w:p>
    <w:p w14:paraId="3A542E74"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A86F0C8"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Héderer, conseiller apporteur</w:t>
      </w:r>
    </w:p>
    <w:p w14:paraId="35CFFDED"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74D3BB4"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Mme de Beaupuis, avocat général</w:t>
      </w:r>
    </w:p>
    <w:p w14:paraId="38F80A42"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EAE63B7"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SCP Gatineau et Fattaccini, SCP Waquet, Farge et Hazan, avocat(s)</w:t>
      </w:r>
    </w:p>
    <w:p w14:paraId="23341FE0"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1B7974A"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B33AD3B"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8895E84" w14:textId="77777777" w:rsidR="00587B52" w:rsidRDefault="00565963">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REPUBLIQUE FRANCAISE</w:t>
      </w:r>
    </w:p>
    <w:p w14:paraId="38FBBCA1"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C803BB0" w14:textId="77777777" w:rsidR="00587B52" w:rsidRDefault="00565963">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14:paraId="4E7EA88D" w14:textId="77777777" w:rsidR="00587B52" w:rsidRDefault="0056596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C150C5A"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LA COUR DE CASSATION, DEUXIÈME CHAMBRE CIVILE, a rendu l’arrêt suivant :  </w:t>
      </w:r>
    </w:p>
    <w:p w14:paraId="7E87BE72"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14:paraId="38A20F07"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Attendu, selon l’arrêt attaqué (Rennes, 13 février 2008), que M. X... a demandé à la Caisse d’assurance vieillesse invalidité et maladie des cultes (la caisse) la liquidation de ses droits à pension de retraite ; que cette caisse ayant refusé de valider la période de noviciat accomplie au sein d’une congrégation du mois de juillet 1962 au mois de septembre 1963, l’intéressé a saisi d’un recours la juridiction de sécurité sociale ; </w:t>
      </w:r>
    </w:p>
    <w:p w14:paraId="7FBBF025" w14:textId="77777777" w:rsidR="003418D5" w:rsidRDefault="003418D5" w:rsidP="003418D5">
      <w:pPr>
        <w:widowControl w:val="0"/>
        <w:autoSpaceDE w:val="0"/>
        <w:autoSpaceDN w:val="0"/>
        <w:adjustRightInd w:val="0"/>
        <w:spacing w:after="0" w:line="240" w:lineRule="auto"/>
        <w:jc w:val="both"/>
        <w:rPr>
          <w:rFonts w:ascii="Arial" w:hAnsi="Arial" w:cs="Arial"/>
          <w:sz w:val="24"/>
          <w:szCs w:val="24"/>
        </w:rPr>
      </w:pPr>
    </w:p>
    <w:p w14:paraId="3C2763DF" w14:textId="37A2E870" w:rsidR="00587B52" w:rsidRDefault="00565963" w:rsidP="003418D5">
      <w:pPr>
        <w:widowControl w:val="0"/>
        <w:autoSpaceDE w:val="0"/>
        <w:autoSpaceDN w:val="0"/>
        <w:adjustRightInd w:val="0"/>
        <w:spacing w:after="0" w:line="240" w:lineRule="auto"/>
        <w:jc w:val="both"/>
        <w:rPr>
          <w:rFonts w:ascii="Arial" w:hAnsi="Arial" w:cs="Arial"/>
          <w:sz w:val="24"/>
          <w:szCs w:val="24"/>
        </w:rPr>
      </w:pPr>
      <w:r w:rsidRPr="005749E5">
        <w:rPr>
          <w:rFonts w:ascii="Arial" w:hAnsi="Arial" w:cs="Arial"/>
          <w:b/>
          <w:bCs/>
          <w:sz w:val="24"/>
          <w:szCs w:val="24"/>
          <w:highlight w:val="yellow"/>
        </w:rPr>
        <w:t>Sur le premier moyen</w:t>
      </w:r>
      <w:r w:rsidRPr="005749E5">
        <w:rPr>
          <w:rFonts w:ascii="Arial" w:hAnsi="Arial" w:cs="Arial"/>
          <w:sz w:val="24"/>
          <w:szCs w:val="24"/>
          <w:highlight w:val="yellow"/>
        </w:rPr>
        <w:t xml:space="preserve"> :</w:t>
      </w:r>
      <w:r>
        <w:rPr>
          <w:rFonts w:ascii="Arial" w:hAnsi="Arial" w:cs="Arial"/>
          <w:sz w:val="24"/>
          <w:szCs w:val="24"/>
        </w:rPr>
        <w:t> </w:t>
      </w:r>
    </w:p>
    <w:p w14:paraId="4E2F442B"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Attendu que la caisse fait grief à l’arrêt de valider une période de cinq trimestres supplémentaires, alors, selon le moyen, qu’en instituant un régime de protection spécifique au bénéfice, notamment, des membres des congrégations et collectivités religieuses, la loi, si étendue qu’ait été sa volonté de généraliser la protection sociale, n’a pas entendu définir, au lieu et place des congrégations et collectivités religieuses concernées, les personnes qui en sont membres aux termes de leurs statuts ni se substituer à ces statuts pour déterminer les membres d’une congrégation ; que le juge du fond devait donc nécessairement, pour apprécier si un novice n’ayant prononcé aucun voeu est un membre de la congrégation, se référer exclusivement aux statuts de cette congrégation et à la volonté exprimée par son pacte fondateur, et ne pouvait sans excéder ses pouvoirs, prétendre y substituer une définition abstraite, relevant d’un prétendu “sens habituel” ; que la cour d’appel a excédé ses pouvoirs en violant l’article 1134 du code civil, l’article D. 721 11 du code de la sécurité sociale, ensemble les articles 1er de la loi du 9 décembre 1905 et 9 de la Convention de sauvegarde des droits de l’homme et des libertés fondamentales ; </w:t>
      </w:r>
    </w:p>
    <w:p w14:paraId="207120AE" w14:textId="77777777" w:rsidR="005749E5" w:rsidRDefault="005749E5" w:rsidP="003418D5">
      <w:pPr>
        <w:widowControl w:val="0"/>
        <w:autoSpaceDE w:val="0"/>
        <w:autoSpaceDN w:val="0"/>
        <w:adjustRightInd w:val="0"/>
        <w:spacing w:after="0" w:line="240" w:lineRule="auto"/>
        <w:jc w:val="both"/>
        <w:rPr>
          <w:rFonts w:ascii="Arial" w:hAnsi="Arial" w:cs="Arial"/>
          <w:sz w:val="24"/>
          <w:szCs w:val="24"/>
          <w:highlight w:val="yellow"/>
        </w:rPr>
      </w:pPr>
    </w:p>
    <w:p w14:paraId="0656FD84" w14:textId="12173C4D" w:rsidR="00587B52" w:rsidRPr="005749E5" w:rsidRDefault="00565963" w:rsidP="003418D5">
      <w:pPr>
        <w:widowControl w:val="0"/>
        <w:autoSpaceDE w:val="0"/>
        <w:autoSpaceDN w:val="0"/>
        <w:adjustRightInd w:val="0"/>
        <w:spacing w:after="0" w:line="240" w:lineRule="auto"/>
        <w:jc w:val="both"/>
        <w:rPr>
          <w:rFonts w:ascii="Arial" w:hAnsi="Arial" w:cs="Arial"/>
          <w:sz w:val="24"/>
          <w:szCs w:val="24"/>
          <w:highlight w:val="yellow"/>
        </w:rPr>
      </w:pPr>
      <w:r w:rsidRPr="005749E5">
        <w:rPr>
          <w:rFonts w:ascii="Arial" w:hAnsi="Arial" w:cs="Arial"/>
          <w:sz w:val="24"/>
          <w:szCs w:val="24"/>
          <w:highlight w:val="yellow"/>
        </w:rPr>
        <w:t>Mais attendu qu’il relève de l’office du juge judiciaire de se prononcer sur l’assujettissement aux régimes de sécurité sociale ; </w:t>
      </w:r>
    </w:p>
    <w:p w14:paraId="524866E7" w14:textId="77777777" w:rsidR="00587B52" w:rsidRPr="005749E5" w:rsidRDefault="00565963" w:rsidP="003418D5">
      <w:pPr>
        <w:widowControl w:val="0"/>
        <w:autoSpaceDE w:val="0"/>
        <w:autoSpaceDN w:val="0"/>
        <w:adjustRightInd w:val="0"/>
        <w:spacing w:after="0" w:line="240" w:lineRule="auto"/>
        <w:jc w:val="both"/>
        <w:rPr>
          <w:rFonts w:ascii="Arial" w:hAnsi="Arial" w:cs="Arial"/>
          <w:sz w:val="24"/>
          <w:szCs w:val="24"/>
          <w:highlight w:val="yellow"/>
        </w:rPr>
      </w:pPr>
      <w:r w:rsidRPr="005749E5">
        <w:rPr>
          <w:rFonts w:ascii="Arial" w:hAnsi="Arial" w:cs="Arial"/>
          <w:sz w:val="24"/>
          <w:szCs w:val="24"/>
          <w:highlight w:val="yellow"/>
        </w:rPr>
        <w:lastRenderedPageBreak/>
        <w:t>Et attendu que c’est sans excès de pouvoir et sans méconnaître les dispositions des articles 1er de la loi du 9 décembre 1905 et 9 de la Convention de sauvegarde des droits de l’homme et des libertés fondamentales, que la cour d’appel, qui n’était pas tenue de se référer aux statuts de la congrégation, a pu décider que la période de noviciat devait être prise en compte dans le calcul des droits à pension de l’intéressé ;  </w:t>
      </w:r>
    </w:p>
    <w:p w14:paraId="4E0F16F9" w14:textId="77777777" w:rsidR="005749E5" w:rsidRDefault="005749E5" w:rsidP="003418D5">
      <w:pPr>
        <w:widowControl w:val="0"/>
        <w:autoSpaceDE w:val="0"/>
        <w:autoSpaceDN w:val="0"/>
        <w:adjustRightInd w:val="0"/>
        <w:spacing w:after="0" w:line="240" w:lineRule="auto"/>
        <w:jc w:val="both"/>
        <w:rPr>
          <w:rFonts w:ascii="Arial" w:hAnsi="Arial" w:cs="Arial"/>
          <w:sz w:val="24"/>
          <w:szCs w:val="24"/>
          <w:highlight w:val="yellow"/>
        </w:rPr>
      </w:pPr>
    </w:p>
    <w:p w14:paraId="3EA07D5E" w14:textId="73F661B3" w:rsidR="00587B52" w:rsidRDefault="00565963" w:rsidP="003418D5">
      <w:pPr>
        <w:widowControl w:val="0"/>
        <w:autoSpaceDE w:val="0"/>
        <w:autoSpaceDN w:val="0"/>
        <w:adjustRightInd w:val="0"/>
        <w:spacing w:after="0" w:line="240" w:lineRule="auto"/>
        <w:jc w:val="both"/>
        <w:rPr>
          <w:rFonts w:ascii="Arial" w:hAnsi="Arial" w:cs="Arial"/>
          <w:sz w:val="24"/>
          <w:szCs w:val="24"/>
        </w:rPr>
      </w:pPr>
      <w:r w:rsidRPr="005749E5">
        <w:rPr>
          <w:rFonts w:ascii="Arial" w:hAnsi="Arial" w:cs="Arial"/>
          <w:sz w:val="24"/>
          <w:szCs w:val="24"/>
          <w:highlight w:val="yellow"/>
        </w:rPr>
        <w:t>D’où il suit que le moyen n’est pas fondé ;</w:t>
      </w:r>
      <w:r>
        <w:rPr>
          <w:rFonts w:ascii="Arial" w:hAnsi="Arial" w:cs="Arial"/>
          <w:sz w:val="24"/>
          <w:szCs w:val="24"/>
        </w:rPr>
        <w:t xml:space="preserve">  </w:t>
      </w:r>
    </w:p>
    <w:p w14:paraId="48DF61BF" w14:textId="77777777" w:rsidR="003418D5" w:rsidRDefault="003418D5" w:rsidP="003418D5">
      <w:pPr>
        <w:widowControl w:val="0"/>
        <w:autoSpaceDE w:val="0"/>
        <w:autoSpaceDN w:val="0"/>
        <w:adjustRightInd w:val="0"/>
        <w:spacing w:after="0" w:line="240" w:lineRule="auto"/>
        <w:jc w:val="both"/>
        <w:rPr>
          <w:rFonts w:ascii="Arial" w:hAnsi="Arial" w:cs="Arial"/>
          <w:sz w:val="24"/>
          <w:szCs w:val="24"/>
        </w:rPr>
      </w:pPr>
    </w:p>
    <w:p w14:paraId="2DF643A2" w14:textId="67F8A503" w:rsidR="00587B52" w:rsidRDefault="00565963" w:rsidP="003418D5">
      <w:pPr>
        <w:widowControl w:val="0"/>
        <w:autoSpaceDE w:val="0"/>
        <w:autoSpaceDN w:val="0"/>
        <w:adjustRightInd w:val="0"/>
        <w:spacing w:after="0" w:line="240" w:lineRule="auto"/>
        <w:jc w:val="both"/>
        <w:rPr>
          <w:rFonts w:ascii="Arial" w:hAnsi="Arial" w:cs="Arial"/>
          <w:sz w:val="24"/>
          <w:szCs w:val="24"/>
        </w:rPr>
      </w:pPr>
      <w:r w:rsidRPr="003418D5">
        <w:rPr>
          <w:rFonts w:ascii="Arial" w:hAnsi="Arial" w:cs="Arial"/>
          <w:b/>
          <w:bCs/>
          <w:sz w:val="24"/>
          <w:szCs w:val="24"/>
        </w:rPr>
        <w:t>Sur le second moyen</w:t>
      </w:r>
      <w:r>
        <w:rPr>
          <w:rFonts w:ascii="Arial" w:hAnsi="Arial" w:cs="Arial"/>
          <w:sz w:val="24"/>
          <w:szCs w:val="24"/>
        </w:rPr>
        <w:t xml:space="preserve"> : </w:t>
      </w:r>
    </w:p>
    <w:p w14:paraId="5B8D7870" w14:textId="4D8907F5"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Attendu que la caisse fait le même grief à l’arrêt, alors, selon le moyen, que l’article 1.23 du règlement intérieur des prestations d’assurances vieillesse des cultes, approuvé par l’arrêté ministériel du 24 juillet 1989, définit le début de la période d’activité religieuse dont dépend l’octroi des prestations vieillesse délivrées par </w:t>
      </w:r>
      <w:r w:rsidR="003418D5">
        <w:rPr>
          <w:rFonts w:ascii="Arial" w:hAnsi="Arial" w:cs="Arial"/>
          <w:sz w:val="24"/>
          <w:szCs w:val="24"/>
        </w:rPr>
        <w:t>elle-même</w:t>
      </w:r>
      <w:r>
        <w:rPr>
          <w:rFonts w:ascii="Arial" w:hAnsi="Arial" w:cs="Arial"/>
          <w:sz w:val="24"/>
          <w:szCs w:val="24"/>
        </w:rPr>
        <w:t xml:space="preserve"> ; qu’il fixe la date d’entrée en vie religieuse au moment de la première profession ou des premiers </w:t>
      </w:r>
      <w:r w:rsidR="003418D5">
        <w:rPr>
          <w:rFonts w:ascii="Arial" w:hAnsi="Arial" w:cs="Arial"/>
          <w:sz w:val="24"/>
          <w:szCs w:val="24"/>
        </w:rPr>
        <w:t>vœux</w:t>
      </w:r>
      <w:r>
        <w:rPr>
          <w:rFonts w:ascii="Arial" w:hAnsi="Arial" w:cs="Arial"/>
          <w:sz w:val="24"/>
          <w:szCs w:val="24"/>
        </w:rPr>
        <w:t xml:space="preserve"> ; qu’en refusant de faire application de cette disposition réglementaire qui définit la qualité de membre d’une congrégation ou collectivité religieuse, la cour d’appel a excédé ses pouvoirs et violé l’article D. 721 11 du code de la sécurité sociale, ensemble l’article 1.23 du règlement intérieur précité et l’arrêté ministériel du 24 juillet 1989 ; </w:t>
      </w:r>
    </w:p>
    <w:p w14:paraId="17A01946" w14:textId="77777777" w:rsidR="005749E5" w:rsidRDefault="005749E5" w:rsidP="003418D5">
      <w:pPr>
        <w:widowControl w:val="0"/>
        <w:autoSpaceDE w:val="0"/>
        <w:autoSpaceDN w:val="0"/>
        <w:adjustRightInd w:val="0"/>
        <w:spacing w:after="0" w:line="240" w:lineRule="auto"/>
        <w:jc w:val="both"/>
        <w:rPr>
          <w:rFonts w:ascii="Arial" w:hAnsi="Arial" w:cs="Arial"/>
          <w:sz w:val="24"/>
          <w:szCs w:val="24"/>
          <w:highlight w:val="yellow"/>
        </w:rPr>
      </w:pPr>
    </w:p>
    <w:p w14:paraId="5D5251AE" w14:textId="2EFF6A5C" w:rsidR="00587B52" w:rsidRPr="005749E5" w:rsidRDefault="00565963" w:rsidP="003418D5">
      <w:pPr>
        <w:widowControl w:val="0"/>
        <w:autoSpaceDE w:val="0"/>
        <w:autoSpaceDN w:val="0"/>
        <w:adjustRightInd w:val="0"/>
        <w:spacing w:after="0" w:line="240" w:lineRule="auto"/>
        <w:jc w:val="both"/>
        <w:rPr>
          <w:rFonts w:ascii="Arial" w:hAnsi="Arial" w:cs="Arial"/>
          <w:sz w:val="24"/>
          <w:szCs w:val="24"/>
          <w:highlight w:val="yellow"/>
        </w:rPr>
      </w:pPr>
      <w:r w:rsidRPr="005749E5">
        <w:rPr>
          <w:rFonts w:ascii="Arial" w:hAnsi="Arial" w:cs="Arial"/>
          <w:sz w:val="24"/>
          <w:szCs w:val="24"/>
          <w:highlight w:val="yellow"/>
        </w:rPr>
        <w:t>Mais attendu que les conditions de l’assujettissement au régime de sécurité sociale des ministres des cultes et membres des congrégations et collectivités religieuses découlent exclusivement des dispositions de l’article L. 721 1 du code de la sécurité sociale, applicables à l’espèce ; </w:t>
      </w:r>
    </w:p>
    <w:p w14:paraId="466CF43A" w14:textId="77777777" w:rsidR="005749E5" w:rsidRDefault="005749E5" w:rsidP="003418D5">
      <w:pPr>
        <w:widowControl w:val="0"/>
        <w:autoSpaceDE w:val="0"/>
        <w:autoSpaceDN w:val="0"/>
        <w:adjustRightInd w:val="0"/>
        <w:spacing w:after="0" w:line="240" w:lineRule="auto"/>
        <w:jc w:val="both"/>
        <w:rPr>
          <w:rFonts w:ascii="Arial" w:hAnsi="Arial" w:cs="Arial"/>
          <w:sz w:val="24"/>
          <w:szCs w:val="24"/>
          <w:highlight w:val="yellow"/>
        </w:rPr>
      </w:pPr>
    </w:p>
    <w:p w14:paraId="3A1456C1" w14:textId="33F12D8B" w:rsidR="00587B52" w:rsidRDefault="00565963" w:rsidP="003418D5">
      <w:pPr>
        <w:widowControl w:val="0"/>
        <w:autoSpaceDE w:val="0"/>
        <w:autoSpaceDN w:val="0"/>
        <w:adjustRightInd w:val="0"/>
        <w:spacing w:after="0" w:line="240" w:lineRule="auto"/>
        <w:jc w:val="both"/>
        <w:rPr>
          <w:rFonts w:ascii="Arial" w:hAnsi="Arial" w:cs="Arial"/>
          <w:sz w:val="24"/>
          <w:szCs w:val="24"/>
        </w:rPr>
      </w:pPr>
      <w:r w:rsidRPr="005749E5">
        <w:rPr>
          <w:rFonts w:ascii="Arial" w:hAnsi="Arial" w:cs="Arial"/>
          <w:sz w:val="24"/>
          <w:szCs w:val="24"/>
          <w:highlight w:val="yellow"/>
        </w:rPr>
        <w:t>D’où il suit que le moyen est inopérant ;</w:t>
      </w:r>
      <w:r>
        <w:rPr>
          <w:rFonts w:ascii="Arial" w:hAnsi="Arial" w:cs="Arial"/>
          <w:sz w:val="24"/>
          <w:szCs w:val="24"/>
        </w:rPr>
        <w:t xml:space="preserve">  </w:t>
      </w:r>
    </w:p>
    <w:p w14:paraId="1FE09A7B" w14:textId="77777777" w:rsidR="003418D5" w:rsidRDefault="003418D5" w:rsidP="003418D5">
      <w:pPr>
        <w:widowControl w:val="0"/>
        <w:autoSpaceDE w:val="0"/>
        <w:autoSpaceDN w:val="0"/>
        <w:adjustRightInd w:val="0"/>
        <w:spacing w:after="0" w:line="240" w:lineRule="auto"/>
        <w:jc w:val="both"/>
        <w:rPr>
          <w:rFonts w:ascii="Arial" w:hAnsi="Arial" w:cs="Arial"/>
          <w:sz w:val="24"/>
          <w:szCs w:val="24"/>
        </w:rPr>
      </w:pPr>
    </w:p>
    <w:p w14:paraId="3950FC16" w14:textId="3CB5A751" w:rsidR="00587B52" w:rsidRPr="003418D5" w:rsidRDefault="00565963" w:rsidP="003418D5">
      <w:pPr>
        <w:widowControl w:val="0"/>
        <w:autoSpaceDE w:val="0"/>
        <w:autoSpaceDN w:val="0"/>
        <w:adjustRightInd w:val="0"/>
        <w:spacing w:after="0" w:line="240" w:lineRule="auto"/>
        <w:jc w:val="both"/>
        <w:rPr>
          <w:rFonts w:ascii="Arial" w:hAnsi="Arial" w:cs="Arial"/>
          <w:b/>
          <w:bCs/>
          <w:sz w:val="24"/>
          <w:szCs w:val="24"/>
        </w:rPr>
      </w:pPr>
      <w:r w:rsidRPr="003418D5">
        <w:rPr>
          <w:rFonts w:ascii="Arial" w:hAnsi="Arial" w:cs="Arial"/>
          <w:b/>
          <w:bCs/>
          <w:sz w:val="24"/>
          <w:szCs w:val="24"/>
        </w:rPr>
        <w:t>PAR CES MOTIFS : </w:t>
      </w:r>
    </w:p>
    <w:p w14:paraId="72E3A6E4"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REJETTE le pourvoi ; </w:t>
      </w:r>
    </w:p>
    <w:p w14:paraId="22865CEF"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Condamne la Caisse d’assurance vieillesse invalidité et maladie des cultes aux dépens ; </w:t>
      </w:r>
    </w:p>
    <w:p w14:paraId="17A80A14"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Vu l’article 628 du code de procédure civile, rejette la demande de M. X... ;  </w:t>
      </w:r>
    </w:p>
    <w:p w14:paraId="24975F29"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Vu l’article 700 du code de procédure civile, rejette la demande de la Caisse d’assurance vieillesse invalidité et maladie des cultes ; la condamne à payer à M. X... la somme de 1 000 euros ;  </w:t>
      </w:r>
    </w:p>
    <w:p w14:paraId="5E2A5CB8" w14:textId="77777777" w:rsidR="00587B52" w:rsidRDefault="00565963" w:rsidP="003418D5">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Ainsi fait et jugé par la Cour de cassation, deuxième chambre civile, et prononcé par le président en son audience publique du vingt-deux octobre deux mille neuf. </w:t>
      </w:r>
    </w:p>
    <w:sectPr w:rsidR="00587B52">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F739E8"/>
    <w:multiLevelType w:val="singleLevel"/>
    <w:tmpl w:val="614B74E3"/>
    <w:lvl w:ilvl="0">
      <w:start w:val="1"/>
      <w:numFmt w:val="bullet"/>
      <w:lvlText w:val="·"/>
      <w:lvlJc w:val="left"/>
      <w:rPr>
        <w:rFonts w:ascii="Times New Roman" w:hAnsi="Times New Roman" w:cs="Times New Roman"/>
      </w:rPr>
    </w:lvl>
  </w:abstractNum>
  <w:num w:numId="1" w16cid:durableId="130431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readOnly" w:enforcement="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6FC"/>
    <w:rsid w:val="00043C4B"/>
    <w:rsid w:val="00064E3D"/>
    <w:rsid w:val="002D754D"/>
    <w:rsid w:val="003418D5"/>
    <w:rsid w:val="00565963"/>
    <w:rsid w:val="005749E5"/>
    <w:rsid w:val="00587B52"/>
    <w:rsid w:val="008756FC"/>
    <w:rsid w:val="009455BE"/>
    <w:rsid w:val="00A12FF4"/>
    <w:rsid w:val="00FC6D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EF833"/>
  <w14:defaultImageDpi w14:val="0"/>
  <w15:docId w15:val="{AACADFEE-C7AC-4628-BE45-E605711F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688</Words>
  <Characters>3785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AUVINET</dc:creator>
  <cp:lastModifiedBy>Joseph AUVINET</cp:lastModifiedBy>
  <cp:revision>3</cp:revision>
  <cp:lastPrinted>2024-02-13T12:50:00Z</cp:lastPrinted>
  <dcterms:created xsi:type="dcterms:W3CDTF">2024-02-13T12:50:00Z</dcterms:created>
  <dcterms:modified xsi:type="dcterms:W3CDTF">2024-02-13T12:52:00Z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Mar 13 16:59:09 CET 2014</vt:lpwstr>
  </property>
  <property fmtid="{D5CDD505-2E9C-101B-9397-08002B2CF9AE}" pid="3" name="jforVersion">
    <vt:lpwstr>jfor V0.7.2rc1 - see http://www.jfor.org</vt:lpwstr>
  </property>
</Properties>
</file>