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C2" w:rsidRDefault="002B41C2" w:rsidP="001D3AB5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sz w:val="21"/>
          <w:szCs w:val="21"/>
        </w:rPr>
      </w:pPr>
      <w:r>
        <w:rPr>
          <w:rFonts w:ascii="TradeGothicLTStd-Bold" w:hAnsi="TradeGothicLTStd-Bold" w:cs="TradeGothicLTStd-Bold"/>
          <w:b/>
          <w:bCs/>
          <w:sz w:val="21"/>
          <w:szCs w:val="21"/>
        </w:rPr>
        <w:t>Cour de cassation. Rapport 2012. Pages 455-457.</w:t>
      </w:r>
    </w:p>
    <w:p w:rsidR="002B41C2" w:rsidRDefault="002B41C2" w:rsidP="001D3AB5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sz w:val="21"/>
          <w:szCs w:val="21"/>
        </w:rPr>
      </w:pP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B41C2">
        <w:rPr>
          <w:rFonts w:ascii="Arial" w:hAnsi="Arial" w:cs="Arial"/>
          <w:b/>
          <w:bCs/>
        </w:rPr>
        <w:t>Pouvoirs des juges –</w:t>
      </w:r>
      <w:r w:rsidR="002B41C2" w:rsidRPr="002B41C2">
        <w:rPr>
          <w:rFonts w:ascii="Arial" w:hAnsi="Arial" w:cs="Arial"/>
          <w:b/>
          <w:bCs/>
        </w:rPr>
        <w:t xml:space="preserve"> sécurité </w:t>
      </w:r>
      <w:r w:rsidRPr="002B41C2">
        <w:rPr>
          <w:rFonts w:ascii="Arial" w:hAnsi="Arial" w:cs="Arial"/>
          <w:b/>
          <w:bCs/>
        </w:rPr>
        <w:t>sociale – Assujettissement –</w:t>
      </w:r>
      <w:r w:rsidR="002B41C2" w:rsidRPr="002B41C2">
        <w:rPr>
          <w:rFonts w:ascii="Arial" w:hAnsi="Arial" w:cs="Arial"/>
          <w:b/>
          <w:bCs/>
        </w:rPr>
        <w:t xml:space="preserve"> Ministres des cultes et </w:t>
      </w:r>
      <w:r w:rsidRPr="002B41C2">
        <w:rPr>
          <w:rFonts w:ascii="Arial" w:hAnsi="Arial" w:cs="Arial"/>
          <w:b/>
          <w:bCs/>
        </w:rPr>
        <w:t>membres des congrégations et collectivités religieuses – Portée</w:t>
      </w: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B41C2">
        <w:rPr>
          <w:rFonts w:ascii="Arial" w:hAnsi="Arial" w:cs="Arial"/>
          <w:i/>
          <w:iCs/>
        </w:rPr>
        <w:t xml:space="preserve">2e </w:t>
      </w:r>
      <w:proofErr w:type="spellStart"/>
      <w:r w:rsidRPr="002B41C2">
        <w:rPr>
          <w:rFonts w:ascii="Arial" w:hAnsi="Arial" w:cs="Arial"/>
          <w:i/>
          <w:iCs/>
        </w:rPr>
        <w:t>Civ</w:t>
      </w:r>
      <w:proofErr w:type="spellEnd"/>
      <w:r w:rsidRPr="002B41C2">
        <w:rPr>
          <w:rFonts w:ascii="Arial" w:hAnsi="Arial" w:cs="Arial"/>
          <w:i/>
          <w:iCs/>
        </w:rPr>
        <w:t xml:space="preserve">., 20 janvier 2012, pourvois no 10-24.615 et no </w:t>
      </w:r>
      <w:r w:rsidR="00647D76">
        <w:rPr>
          <w:rFonts w:ascii="Arial" w:hAnsi="Arial" w:cs="Arial"/>
          <w:i/>
          <w:iCs/>
        </w:rPr>
        <w:t xml:space="preserve">10-24.603, Bull. </w:t>
      </w:r>
      <w:r w:rsidRPr="002B41C2">
        <w:rPr>
          <w:rFonts w:ascii="Arial" w:hAnsi="Arial" w:cs="Arial"/>
          <w:i/>
          <w:iCs/>
        </w:rPr>
        <w:t>2012, II, no 14</w:t>
      </w:r>
    </w:p>
    <w:p w:rsidR="001D3AB5" w:rsidRPr="002B41C2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B41C2">
        <w:rPr>
          <w:rFonts w:ascii="Arial" w:hAnsi="Arial" w:cs="Arial"/>
          <w:i/>
          <w:iCs/>
        </w:rPr>
        <w:t xml:space="preserve">2e </w:t>
      </w:r>
      <w:proofErr w:type="spellStart"/>
      <w:r w:rsidRPr="002B41C2">
        <w:rPr>
          <w:rFonts w:ascii="Arial" w:hAnsi="Arial" w:cs="Arial"/>
          <w:i/>
          <w:iCs/>
        </w:rPr>
        <w:t>Civ</w:t>
      </w:r>
      <w:proofErr w:type="spellEnd"/>
      <w:r w:rsidRPr="002B41C2">
        <w:rPr>
          <w:rFonts w:ascii="Arial" w:hAnsi="Arial" w:cs="Arial"/>
          <w:i/>
          <w:iCs/>
        </w:rPr>
        <w:t xml:space="preserve">., 20 janvier 2012, pourvois no10-26.845 et no </w:t>
      </w:r>
      <w:r w:rsidR="00647D76">
        <w:rPr>
          <w:rFonts w:ascii="Arial" w:hAnsi="Arial" w:cs="Arial"/>
          <w:i/>
          <w:iCs/>
        </w:rPr>
        <w:t xml:space="preserve">10-26.873, Bull. </w:t>
      </w:r>
      <w:r w:rsidRPr="002B41C2">
        <w:rPr>
          <w:rFonts w:ascii="Arial" w:hAnsi="Arial" w:cs="Arial"/>
          <w:i/>
          <w:iCs/>
        </w:rPr>
        <w:t>2012, II, no 15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Au cours des dernières années, de nombreuses personnes, qui avaient, antérieurement</w:t>
      </w:r>
      <w:r w:rsidR="00647D76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au 1er janvier 1979, passé plusieurs années d</w:t>
      </w:r>
      <w:r w:rsidR="00647D76">
        <w:rPr>
          <w:rFonts w:ascii="Arial" w:hAnsi="Arial" w:cs="Arial"/>
        </w:rPr>
        <w:t xml:space="preserve">e formation, les hommes dans un </w:t>
      </w:r>
      <w:r w:rsidRPr="002B41C2">
        <w:rPr>
          <w:rFonts w:ascii="Arial" w:hAnsi="Arial" w:cs="Arial"/>
        </w:rPr>
        <w:t>grand séminaire avant d’être ordonnés prêtres, les femm</w:t>
      </w:r>
      <w:r w:rsidR="00647D76">
        <w:rPr>
          <w:rFonts w:ascii="Arial" w:hAnsi="Arial" w:cs="Arial"/>
        </w:rPr>
        <w:t xml:space="preserve">es comme novices ou postulantes </w:t>
      </w:r>
      <w:r w:rsidRPr="002B41C2">
        <w:rPr>
          <w:rFonts w:ascii="Arial" w:hAnsi="Arial" w:cs="Arial"/>
        </w:rPr>
        <w:t xml:space="preserve">au sein d’une congrégation avant de prononcer leurs </w:t>
      </w:r>
      <w:proofErr w:type="spellStart"/>
      <w:r w:rsidRPr="002B41C2">
        <w:rPr>
          <w:rFonts w:ascii="Arial" w:hAnsi="Arial" w:cs="Arial"/>
        </w:rPr>
        <w:t>voeux</w:t>
      </w:r>
      <w:proofErr w:type="spellEnd"/>
      <w:r w:rsidRPr="002B41C2">
        <w:rPr>
          <w:rFonts w:ascii="Arial" w:hAnsi="Arial" w:cs="Arial"/>
        </w:rPr>
        <w:t>, puis qui avaient</w:t>
      </w:r>
      <w:r w:rsidR="00647D76">
        <w:rPr>
          <w:rFonts w:ascii="Arial" w:hAnsi="Arial" w:cs="Arial"/>
        </w:rPr>
        <w:t xml:space="preserve"> ultérieurement </w:t>
      </w:r>
      <w:r w:rsidRPr="002B41C2">
        <w:rPr>
          <w:rFonts w:ascii="Arial" w:hAnsi="Arial" w:cs="Arial"/>
        </w:rPr>
        <w:t>quitté l’état religieux, ont réclamé à la caisse d’</w:t>
      </w:r>
      <w:r w:rsidR="00647D76">
        <w:rPr>
          <w:rFonts w:ascii="Arial" w:hAnsi="Arial" w:cs="Arial"/>
        </w:rPr>
        <w:t xml:space="preserve">assurance-vieillesse invalidité </w:t>
      </w:r>
      <w:r w:rsidRPr="002B41C2">
        <w:rPr>
          <w:rFonts w:ascii="Arial" w:hAnsi="Arial" w:cs="Arial"/>
        </w:rPr>
        <w:t>et maladie des cultes (la caisse) la prise en compte, da</w:t>
      </w:r>
      <w:r w:rsidR="00647D76">
        <w:rPr>
          <w:rFonts w:ascii="Arial" w:hAnsi="Arial" w:cs="Arial"/>
        </w:rPr>
        <w:t xml:space="preserve">ns le calcul de leur pension de </w:t>
      </w:r>
      <w:r w:rsidRPr="002B41C2">
        <w:rPr>
          <w:rFonts w:ascii="Arial" w:hAnsi="Arial" w:cs="Arial"/>
        </w:rPr>
        <w:t>retraite, de cette période de formation.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Cette caisse leur a opposé les stipulations du règl</w:t>
      </w:r>
      <w:r w:rsidR="00647D76">
        <w:rPr>
          <w:rFonts w:ascii="Arial" w:hAnsi="Arial" w:cs="Arial"/>
        </w:rPr>
        <w:t xml:space="preserve">ement intérieur des prestations </w:t>
      </w:r>
      <w:r w:rsidRPr="002B41C2">
        <w:rPr>
          <w:rFonts w:ascii="Arial" w:hAnsi="Arial" w:cs="Arial"/>
        </w:rPr>
        <w:t>adopté par son conseil d’administration le 22 juin 1</w:t>
      </w:r>
      <w:r w:rsidR="00647D76">
        <w:rPr>
          <w:rFonts w:ascii="Arial" w:hAnsi="Arial" w:cs="Arial"/>
        </w:rPr>
        <w:t xml:space="preserve">989, approuvé par l’autorité de </w:t>
      </w:r>
      <w:r w:rsidRPr="002B41C2">
        <w:rPr>
          <w:rFonts w:ascii="Arial" w:hAnsi="Arial" w:cs="Arial"/>
        </w:rPr>
        <w:t xml:space="preserve">tutelles le 24 juillet et publié au </w:t>
      </w:r>
      <w:r w:rsidRPr="002B41C2">
        <w:rPr>
          <w:rFonts w:ascii="Arial" w:hAnsi="Arial" w:cs="Arial"/>
          <w:i/>
          <w:iCs/>
        </w:rPr>
        <w:t xml:space="preserve">Journal officiel </w:t>
      </w:r>
      <w:r w:rsidRPr="002B41C2">
        <w:rPr>
          <w:rFonts w:ascii="Arial" w:hAnsi="Arial" w:cs="Arial"/>
        </w:rPr>
        <w:t>le 3 août suiva</w:t>
      </w:r>
      <w:r w:rsidR="00647D76">
        <w:rPr>
          <w:rFonts w:ascii="Arial" w:hAnsi="Arial" w:cs="Arial"/>
        </w:rPr>
        <w:t xml:space="preserve">nt, dont l’article 1.23 précise </w:t>
      </w:r>
      <w:r w:rsidRPr="002B41C2">
        <w:rPr>
          <w:rFonts w:ascii="Arial" w:hAnsi="Arial" w:cs="Arial"/>
        </w:rPr>
        <w:t>qu’en ce qui concerne le culte catholique, la date d’</w:t>
      </w:r>
      <w:r w:rsidR="00647D76">
        <w:rPr>
          <w:rFonts w:ascii="Arial" w:hAnsi="Arial" w:cs="Arial"/>
        </w:rPr>
        <w:t xml:space="preserve">entrée en ministère est la date </w:t>
      </w:r>
      <w:r w:rsidRPr="002B41C2">
        <w:rPr>
          <w:rFonts w:ascii="Arial" w:hAnsi="Arial" w:cs="Arial"/>
        </w:rPr>
        <w:t xml:space="preserve">de tonsure si celle-ci a eu lieu avant le 1er janvier 1973 ou </w:t>
      </w:r>
      <w:r w:rsidR="00647D76">
        <w:rPr>
          <w:rFonts w:ascii="Arial" w:hAnsi="Arial" w:cs="Arial"/>
        </w:rPr>
        <w:t xml:space="preserve">la date de diaconat si celui-ci </w:t>
      </w:r>
      <w:r w:rsidRPr="002B41C2">
        <w:rPr>
          <w:rFonts w:ascii="Arial" w:hAnsi="Arial" w:cs="Arial"/>
        </w:rPr>
        <w:t>a été conféré après le 1er janvier 1973. Depuis le 1er octobre</w:t>
      </w:r>
      <w:r w:rsidR="00647D76">
        <w:rPr>
          <w:rFonts w:ascii="Arial" w:hAnsi="Arial" w:cs="Arial"/>
        </w:rPr>
        <w:t xml:space="preserve"> 1988, c’est la date du premier </w:t>
      </w:r>
      <w:r w:rsidRPr="002B41C2">
        <w:rPr>
          <w:rFonts w:ascii="Arial" w:hAnsi="Arial" w:cs="Arial"/>
        </w:rPr>
        <w:t>engagement qui sera retenue. La date d’entrée en vie</w:t>
      </w:r>
      <w:r w:rsidR="00647D76">
        <w:rPr>
          <w:rFonts w:ascii="Arial" w:hAnsi="Arial" w:cs="Arial"/>
        </w:rPr>
        <w:t xml:space="preserve"> religieuse est fixée à la date </w:t>
      </w:r>
      <w:r w:rsidRPr="002B41C2">
        <w:rPr>
          <w:rFonts w:ascii="Arial" w:hAnsi="Arial" w:cs="Arial"/>
        </w:rPr>
        <w:t xml:space="preserve">de la première profession ou de premiers </w:t>
      </w:r>
      <w:r w:rsidR="00647D76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>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Issu de la loi no 78-4 du 2 janvier 1978 relative au</w:t>
      </w:r>
      <w:r w:rsidR="00647D76">
        <w:rPr>
          <w:rFonts w:ascii="Arial" w:hAnsi="Arial" w:cs="Arial"/>
        </w:rPr>
        <w:t xml:space="preserve">x régimes d’assurances sociales </w:t>
      </w:r>
      <w:r w:rsidRPr="002B41C2">
        <w:rPr>
          <w:rFonts w:ascii="Arial" w:hAnsi="Arial" w:cs="Arial"/>
        </w:rPr>
        <w:t>applicables aux ministres des cultes et membres des</w:t>
      </w:r>
      <w:r w:rsidR="00647D76">
        <w:rPr>
          <w:rFonts w:ascii="Arial" w:hAnsi="Arial" w:cs="Arial"/>
        </w:rPr>
        <w:t xml:space="preserve"> congrégations et collectivités religieuses </w:t>
      </w:r>
      <w:r w:rsidRPr="002B41C2">
        <w:rPr>
          <w:rFonts w:ascii="Arial" w:hAnsi="Arial" w:cs="Arial"/>
        </w:rPr>
        <w:t>et du décret no 79-607 du 3 juillet 1979, le régime d</w:t>
      </w:r>
      <w:r w:rsidR="00FC4C38">
        <w:rPr>
          <w:rFonts w:ascii="Arial" w:hAnsi="Arial" w:cs="Arial"/>
        </w:rPr>
        <w:t xml:space="preserve">’assurance vieillesse prévoyait </w:t>
      </w:r>
      <w:r w:rsidRPr="002B41C2">
        <w:rPr>
          <w:rFonts w:ascii="Arial" w:hAnsi="Arial" w:cs="Arial"/>
        </w:rPr>
        <w:t>la prise en compte, pour l’ouverture du droit à pension et</w:t>
      </w:r>
      <w:r w:rsidR="00FC4C38">
        <w:rPr>
          <w:rFonts w:ascii="Arial" w:hAnsi="Arial" w:cs="Arial"/>
        </w:rPr>
        <w:t xml:space="preserve"> le calcul de cette pension, de </w:t>
      </w:r>
      <w:r w:rsidRPr="002B41C2">
        <w:rPr>
          <w:rFonts w:ascii="Arial" w:hAnsi="Arial" w:cs="Arial"/>
        </w:rPr>
        <w:t>trimestres gratuits, n’ayant pas donné lieu au versemen</w:t>
      </w:r>
      <w:r w:rsidR="00FC4C38">
        <w:rPr>
          <w:rFonts w:ascii="Arial" w:hAnsi="Arial" w:cs="Arial"/>
        </w:rPr>
        <w:t xml:space="preserve">t de cotisations, correspondant </w:t>
      </w:r>
      <w:r w:rsidRPr="002B41C2">
        <w:rPr>
          <w:rFonts w:ascii="Arial" w:hAnsi="Arial" w:cs="Arial"/>
        </w:rPr>
        <w:t>aux périodes d’exercice d’activité en qualité de ministr</w:t>
      </w:r>
      <w:r w:rsidR="00FC4C38">
        <w:rPr>
          <w:rFonts w:ascii="Arial" w:hAnsi="Arial" w:cs="Arial"/>
        </w:rPr>
        <w:t xml:space="preserve">e d’un culte ou de membre d’une </w:t>
      </w:r>
      <w:r w:rsidRPr="002B41C2">
        <w:rPr>
          <w:rFonts w:ascii="Arial" w:hAnsi="Arial" w:cs="Arial"/>
        </w:rPr>
        <w:t>congrégation ou collectivité religieuse antérieurement au 1er janvier 1979.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L’article D. 721-11 du code de </w:t>
      </w:r>
      <w:r w:rsidR="00FC4C38">
        <w:rPr>
          <w:rFonts w:ascii="Arial" w:hAnsi="Arial" w:cs="Arial"/>
        </w:rPr>
        <w:t xml:space="preserve">la sécurité </w:t>
      </w:r>
      <w:r w:rsidRPr="002B41C2">
        <w:rPr>
          <w:rFonts w:ascii="Arial" w:hAnsi="Arial" w:cs="Arial"/>
        </w:rPr>
        <w:t>sociale</w:t>
      </w:r>
      <w:r w:rsidR="00FC4C38">
        <w:rPr>
          <w:rFonts w:ascii="Arial" w:hAnsi="Arial" w:cs="Arial"/>
        </w:rPr>
        <w:t xml:space="preserve">, tel qu’il était en vigueur au </w:t>
      </w:r>
      <w:r w:rsidRPr="002B41C2">
        <w:rPr>
          <w:rFonts w:ascii="Arial" w:hAnsi="Arial" w:cs="Arial"/>
        </w:rPr>
        <w:t>31 décembre 1997 (il a été abrogé par le décret no 98-</w:t>
      </w:r>
      <w:r w:rsidR="00FC4C38">
        <w:rPr>
          <w:rFonts w:ascii="Arial" w:hAnsi="Arial" w:cs="Arial"/>
        </w:rPr>
        <w:t xml:space="preserve">491 du 17 juin 1998), disposait </w:t>
      </w:r>
      <w:r w:rsidRPr="002B41C2">
        <w:rPr>
          <w:rFonts w:ascii="Arial" w:hAnsi="Arial" w:cs="Arial"/>
        </w:rPr>
        <w:t xml:space="preserve">que : « Sous réserve qu’à la date d’entrée en jouissance de </w:t>
      </w:r>
      <w:r w:rsidR="00FC4C38">
        <w:rPr>
          <w:rFonts w:ascii="Arial" w:hAnsi="Arial" w:cs="Arial"/>
        </w:rPr>
        <w:t xml:space="preserve">la pension l’assuré soit à jour </w:t>
      </w:r>
      <w:r w:rsidRPr="002B41C2">
        <w:rPr>
          <w:rFonts w:ascii="Arial" w:hAnsi="Arial" w:cs="Arial"/>
        </w:rPr>
        <w:t xml:space="preserve">de ses cotisations personnelles, sont prises en compte </w:t>
      </w:r>
      <w:r w:rsidR="00FC4C38">
        <w:rPr>
          <w:rFonts w:ascii="Arial" w:hAnsi="Arial" w:cs="Arial"/>
        </w:rPr>
        <w:t xml:space="preserve">pour l’ouverture du droit et le </w:t>
      </w:r>
      <w:r w:rsidRPr="002B41C2">
        <w:rPr>
          <w:rFonts w:ascii="Arial" w:hAnsi="Arial" w:cs="Arial"/>
        </w:rPr>
        <w:t>calcul de la pension, les périodes d’exercice d’activités m</w:t>
      </w:r>
      <w:r w:rsidR="00FC4C38">
        <w:rPr>
          <w:rFonts w:ascii="Arial" w:hAnsi="Arial" w:cs="Arial"/>
        </w:rPr>
        <w:t xml:space="preserve">entionnées à l’article L. 721-1 </w:t>
      </w:r>
      <w:r w:rsidRPr="002B41C2">
        <w:rPr>
          <w:rFonts w:ascii="Arial" w:hAnsi="Arial" w:cs="Arial"/>
        </w:rPr>
        <w:t>accomplies antérieurement au 1er janvier 1979 en qualité de minist</w:t>
      </w:r>
      <w:r w:rsidR="00FC4C38">
        <w:rPr>
          <w:rFonts w:ascii="Arial" w:hAnsi="Arial" w:cs="Arial"/>
        </w:rPr>
        <w:t xml:space="preserve">re d’un culte ou de </w:t>
      </w:r>
      <w:r w:rsidRPr="002B41C2">
        <w:rPr>
          <w:rFonts w:ascii="Arial" w:hAnsi="Arial" w:cs="Arial"/>
        </w:rPr>
        <w:t>membre d’une congrégation ou collectivité religieuse, e</w:t>
      </w:r>
      <w:r w:rsidR="00FC4C38">
        <w:rPr>
          <w:rFonts w:ascii="Arial" w:hAnsi="Arial" w:cs="Arial"/>
        </w:rPr>
        <w:t xml:space="preserve">n France métropolitaine et dans </w:t>
      </w:r>
      <w:r w:rsidRPr="002B41C2">
        <w:rPr>
          <w:rFonts w:ascii="Arial" w:hAnsi="Arial" w:cs="Arial"/>
        </w:rPr>
        <w:t>les départements mentionnés à l’article L. 751-1, lorsque ce</w:t>
      </w:r>
      <w:r w:rsidR="00FC4C38">
        <w:rPr>
          <w:rFonts w:ascii="Arial" w:hAnsi="Arial" w:cs="Arial"/>
        </w:rPr>
        <w:t xml:space="preserve">s périodes ne sont pas validées </w:t>
      </w:r>
      <w:r w:rsidRPr="002B41C2">
        <w:rPr>
          <w:rFonts w:ascii="Arial" w:hAnsi="Arial" w:cs="Arial"/>
        </w:rPr>
        <w:t>par un autre régime obligatoire d’assurance vieillesse de base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L’ancien article </w:t>
      </w:r>
      <w:r w:rsidR="00FC4C38">
        <w:rPr>
          <w:rFonts w:ascii="Arial" w:hAnsi="Arial" w:cs="Arial"/>
        </w:rPr>
        <w:t xml:space="preserve">L. 721-1 du code de la sécurité </w:t>
      </w:r>
      <w:r w:rsidRPr="002B41C2">
        <w:rPr>
          <w:rFonts w:ascii="Arial" w:hAnsi="Arial" w:cs="Arial"/>
        </w:rPr>
        <w:t xml:space="preserve">sociale (abrogé par la loi no </w:t>
      </w:r>
      <w:r w:rsidR="00FC4C38">
        <w:rPr>
          <w:rFonts w:ascii="Arial" w:hAnsi="Arial" w:cs="Arial"/>
        </w:rPr>
        <w:t>2005-</w:t>
      </w:r>
      <w:r w:rsidRPr="002B41C2">
        <w:rPr>
          <w:rFonts w:ascii="Arial" w:hAnsi="Arial" w:cs="Arial"/>
        </w:rPr>
        <w:t>1579 du 19 décembre 2005, actuel article L. 382-15), dis</w:t>
      </w:r>
      <w:r w:rsidR="00FC4C38">
        <w:rPr>
          <w:rFonts w:ascii="Arial" w:hAnsi="Arial" w:cs="Arial"/>
        </w:rPr>
        <w:t xml:space="preserve">posait pour sa part que : « Les </w:t>
      </w:r>
      <w:r w:rsidRPr="002B41C2">
        <w:rPr>
          <w:rFonts w:ascii="Arial" w:hAnsi="Arial" w:cs="Arial"/>
        </w:rPr>
        <w:t>ministres des cultes et les membres des congrégations et collectivités rel</w:t>
      </w:r>
      <w:r w:rsidR="00FC4C38">
        <w:rPr>
          <w:rFonts w:ascii="Arial" w:hAnsi="Arial" w:cs="Arial"/>
        </w:rPr>
        <w:t xml:space="preserve">igieuses qui ne </w:t>
      </w:r>
      <w:r w:rsidRPr="002B41C2">
        <w:rPr>
          <w:rFonts w:ascii="Arial" w:hAnsi="Arial" w:cs="Arial"/>
        </w:rPr>
        <w:t>relèvent pas, à titre obligatoire</w:t>
      </w:r>
      <w:r w:rsidR="00FC4C38">
        <w:rPr>
          <w:rFonts w:ascii="Arial" w:hAnsi="Arial" w:cs="Arial"/>
        </w:rPr>
        <w:t xml:space="preserve">, d’un autre régime de sécurité sociale sont garantis contre </w:t>
      </w:r>
      <w:r w:rsidRPr="002B41C2">
        <w:rPr>
          <w:rFonts w:ascii="Arial" w:hAnsi="Arial" w:cs="Arial"/>
        </w:rPr>
        <w:t>le risque vieillesse dans les conditions fixées par les dispositions du présent chapitre.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L’affiliation est pronon</w:t>
      </w:r>
      <w:r w:rsidR="00FC4C38">
        <w:rPr>
          <w:rFonts w:ascii="Arial" w:hAnsi="Arial" w:cs="Arial"/>
        </w:rPr>
        <w:t xml:space="preserve">cée par l’organisme de sécurité </w:t>
      </w:r>
      <w:r w:rsidRPr="002B41C2">
        <w:rPr>
          <w:rFonts w:ascii="Arial" w:hAnsi="Arial" w:cs="Arial"/>
        </w:rPr>
        <w:t>soc</w:t>
      </w:r>
      <w:r w:rsidR="00FC4C38">
        <w:rPr>
          <w:rFonts w:ascii="Arial" w:hAnsi="Arial" w:cs="Arial"/>
        </w:rPr>
        <w:t xml:space="preserve">iale mis en place par l’article </w:t>
      </w:r>
      <w:r w:rsidRPr="002B41C2">
        <w:rPr>
          <w:rFonts w:ascii="Arial" w:hAnsi="Arial" w:cs="Arial"/>
        </w:rPr>
        <w:t>L</w:t>
      </w:r>
      <w:r w:rsidR="00FC4C38">
        <w:rPr>
          <w:rFonts w:ascii="Arial" w:hAnsi="Arial" w:cs="Arial"/>
        </w:rPr>
        <w:t> </w:t>
      </w:r>
      <w:r w:rsidRPr="002B41C2">
        <w:rPr>
          <w:rFonts w:ascii="Arial" w:hAnsi="Arial" w:cs="Arial"/>
        </w:rPr>
        <w:t xml:space="preserve"> 721-2, s’il y a lieu après consultation d’une co</w:t>
      </w:r>
      <w:r w:rsidR="00FC4C38">
        <w:rPr>
          <w:rFonts w:ascii="Arial" w:hAnsi="Arial" w:cs="Arial"/>
        </w:rPr>
        <w:t xml:space="preserve">mmission consultative instituée </w:t>
      </w:r>
      <w:r w:rsidRPr="002B41C2">
        <w:rPr>
          <w:rFonts w:ascii="Arial" w:hAnsi="Arial" w:cs="Arial"/>
        </w:rPr>
        <w:t>auprès de l’autorité compétente de l’État, compren</w:t>
      </w:r>
      <w:r w:rsidR="00FC4C38">
        <w:rPr>
          <w:rFonts w:ascii="Arial" w:hAnsi="Arial" w:cs="Arial"/>
        </w:rPr>
        <w:t xml:space="preserve">ant notamment des représentants </w:t>
      </w:r>
      <w:r w:rsidRPr="002B41C2">
        <w:rPr>
          <w:rFonts w:ascii="Arial" w:hAnsi="Arial" w:cs="Arial"/>
        </w:rPr>
        <w:t>de l’administration et des personnalités choisies en rai</w:t>
      </w:r>
      <w:r w:rsidR="00FC4C38">
        <w:rPr>
          <w:rFonts w:ascii="Arial" w:hAnsi="Arial" w:cs="Arial"/>
        </w:rPr>
        <w:t xml:space="preserve">son de leur compétence, compte </w:t>
      </w:r>
      <w:r w:rsidRPr="002B41C2">
        <w:rPr>
          <w:rFonts w:ascii="Arial" w:hAnsi="Arial" w:cs="Arial"/>
        </w:rPr>
        <w:t>tenu de la diversité des cultes concernés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Plusieurs cours d’appel ayant accueilli les recours f</w:t>
      </w:r>
      <w:r w:rsidR="00FC4C38">
        <w:rPr>
          <w:rFonts w:ascii="Arial" w:hAnsi="Arial" w:cs="Arial"/>
        </w:rPr>
        <w:t xml:space="preserve">ormés par ces assurés et validé </w:t>
      </w:r>
      <w:r w:rsidRPr="002B41C2">
        <w:rPr>
          <w:rFonts w:ascii="Arial" w:hAnsi="Arial" w:cs="Arial"/>
        </w:rPr>
        <w:t>les trimestres effectués comme novices ou séminaris</w:t>
      </w:r>
      <w:r w:rsidR="00FC4C38">
        <w:rPr>
          <w:rFonts w:ascii="Arial" w:hAnsi="Arial" w:cs="Arial"/>
        </w:rPr>
        <w:t xml:space="preserve">tes en vue de la liquidation de </w:t>
      </w:r>
      <w:r w:rsidRPr="002B41C2">
        <w:rPr>
          <w:rFonts w:ascii="Arial" w:hAnsi="Arial" w:cs="Arial"/>
        </w:rPr>
        <w:t>leur pension de retraite, la caisse et les congrégations o</w:t>
      </w:r>
      <w:r w:rsidR="00FC4C38">
        <w:rPr>
          <w:rFonts w:ascii="Arial" w:hAnsi="Arial" w:cs="Arial"/>
        </w:rPr>
        <w:t xml:space="preserve">u associations diocésaines dont </w:t>
      </w:r>
      <w:r w:rsidRPr="002B41C2">
        <w:rPr>
          <w:rFonts w:ascii="Arial" w:hAnsi="Arial" w:cs="Arial"/>
        </w:rPr>
        <w:t>avaient relevé ceux-ci ont formé des pourvois faisant</w:t>
      </w:r>
      <w:r w:rsidR="00FC4C38">
        <w:rPr>
          <w:rFonts w:ascii="Arial" w:hAnsi="Arial" w:cs="Arial"/>
        </w:rPr>
        <w:t xml:space="preserve">, notamment, grief aux juges du </w:t>
      </w:r>
      <w:r w:rsidRPr="002B41C2">
        <w:rPr>
          <w:rFonts w:ascii="Arial" w:hAnsi="Arial" w:cs="Arial"/>
        </w:rPr>
        <w:t>fond d’avoir, d’une part, porté atteinte aux principes de la séparation des Églises et de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 xml:space="preserve">l’État et de la liberté de </w:t>
      </w:r>
      <w:r w:rsidRPr="002B41C2">
        <w:rPr>
          <w:rFonts w:ascii="Arial" w:hAnsi="Arial" w:cs="Arial"/>
        </w:rPr>
        <w:lastRenderedPageBreak/>
        <w:t>religion, d’autre part, méconnu le règlement intérieur des prestations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de la caisse et jugé, à tort, celui-ci illégal.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Les pourvois ayant donné lieu aux deux présents </w:t>
      </w:r>
      <w:r w:rsidR="00FC4C38">
        <w:rPr>
          <w:rFonts w:ascii="Arial" w:hAnsi="Arial" w:cs="Arial"/>
        </w:rPr>
        <w:t xml:space="preserve">arrêts ont permis à la deuxième </w:t>
      </w:r>
      <w:r w:rsidRPr="002B41C2">
        <w:rPr>
          <w:rFonts w:ascii="Arial" w:hAnsi="Arial" w:cs="Arial"/>
        </w:rPr>
        <w:t>chambre civile de préciser et de compléter sa jurispruden</w:t>
      </w:r>
      <w:r w:rsidR="00FC4C38">
        <w:rPr>
          <w:rFonts w:ascii="Arial" w:hAnsi="Arial" w:cs="Arial"/>
        </w:rPr>
        <w:t xml:space="preserve">ce initiée par l’arrêt rendu le </w:t>
      </w:r>
      <w:r w:rsidRPr="002B41C2">
        <w:rPr>
          <w:rFonts w:ascii="Arial" w:hAnsi="Arial" w:cs="Arial"/>
        </w:rPr>
        <w:t xml:space="preserve">22 octobre 2009 (2e </w:t>
      </w:r>
      <w:proofErr w:type="spellStart"/>
      <w:r w:rsidRPr="002B41C2">
        <w:rPr>
          <w:rFonts w:ascii="Arial" w:hAnsi="Arial" w:cs="Arial"/>
        </w:rPr>
        <w:t>Civ</w:t>
      </w:r>
      <w:proofErr w:type="spellEnd"/>
      <w:r w:rsidRPr="002B41C2">
        <w:rPr>
          <w:rFonts w:ascii="Arial" w:hAnsi="Arial" w:cs="Arial"/>
        </w:rPr>
        <w:t xml:space="preserve">., 22 octobre 2009, pourvoi no 08-13.656, </w:t>
      </w:r>
      <w:r w:rsidRPr="002B41C2">
        <w:rPr>
          <w:rFonts w:ascii="Arial" w:hAnsi="Arial" w:cs="Arial"/>
          <w:i/>
          <w:iCs/>
        </w:rPr>
        <w:t>Bull</w:t>
      </w:r>
      <w:r w:rsidRPr="002B41C2">
        <w:rPr>
          <w:rFonts w:ascii="Arial" w:hAnsi="Arial" w:cs="Arial"/>
        </w:rPr>
        <w:t>. 2009, II, no 251).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524ED0">
        <w:rPr>
          <w:rFonts w:ascii="Arial" w:hAnsi="Arial" w:cs="Arial"/>
          <w:highlight w:val="yellow"/>
        </w:rPr>
        <w:t>En réponse au moyen selon lequel la caisse a seule qualit</w:t>
      </w:r>
      <w:r w:rsidR="00FC4C38" w:rsidRPr="00524ED0">
        <w:rPr>
          <w:rFonts w:ascii="Arial" w:hAnsi="Arial" w:cs="Arial"/>
          <w:highlight w:val="yellow"/>
        </w:rPr>
        <w:t xml:space="preserve">é pour décider de l’affiliation </w:t>
      </w:r>
      <w:r w:rsidRPr="00524ED0">
        <w:rPr>
          <w:rFonts w:ascii="Arial" w:hAnsi="Arial" w:cs="Arial"/>
          <w:highlight w:val="yellow"/>
        </w:rPr>
        <w:t xml:space="preserve">d’un assuré en qualité de ministre du culte </w:t>
      </w:r>
      <w:r w:rsidR="00FC4C38" w:rsidRPr="00524ED0">
        <w:rPr>
          <w:rFonts w:ascii="Arial" w:hAnsi="Arial" w:cs="Arial"/>
          <w:highlight w:val="yellow"/>
        </w:rPr>
        <w:t xml:space="preserve">ou de membre d’une congrégation </w:t>
      </w:r>
      <w:r w:rsidRPr="00524ED0">
        <w:rPr>
          <w:rFonts w:ascii="Arial" w:hAnsi="Arial" w:cs="Arial"/>
          <w:highlight w:val="yellow"/>
        </w:rPr>
        <w:t>ou collectivité religieuse, les arrêts du 20 janvier 2012 re</w:t>
      </w:r>
      <w:r w:rsidR="00FC4C38" w:rsidRPr="00524ED0">
        <w:rPr>
          <w:rFonts w:ascii="Arial" w:hAnsi="Arial" w:cs="Arial"/>
          <w:highlight w:val="yellow"/>
        </w:rPr>
        <w:t xml:space="preserve">prennent un attendu de principe </w:t>
      </w:r>
      <w:r w:rsidRPr="00524ED0">
        <w:rPr>
          <w:rFonts w:ascii="Arial" w:hAnsi="Arial" w:cs="Arial"/>
          <w:highlight w:val="yellow"/>
        </w:rPr>
        <w:t>du même type que celui figurant dans l’arrêt du 22 octo</w:t>
      </w:r>
      <w:r w:rsidR="00FC4C38" w:rsidRPr="00524ED0">
        <w:rPr>
          <w:rFonts w:ascii="Arial" w:hAnsi="Arial" w:cs="Arial"/>
          <w:highlight w:val="yellow"/>
        </w:rPr>
        <w:t xml:space="preserve">bre 2009, fondé sur l’autonomie </w:t>
      </w:r>
      <w:r w:rsidRPr="00524ED0">
        <w:rPr>
          <w:rFonts w:ascii="Arial" w:hAnsi="Arial" w:cs="Arial"/>
          <w:highlight w:val="yellow"/>
        </w:rPr>
        <w:t xml:space="preserve">du </w:t>
      </w:r>
      <w:r w:rsidR="00FC4C38" w:rsidRPr="00524ED0">
        <w:rPr>
          <w:rFonts w:ascii="Arial" w:hAnsi="Arial" w:cs="Arial"/>
          <w:highlight w:val="yellow"/>
        </w:rPr>
        <w:t xml:space="preserve">droit de la sécurité </w:t>
      </w:r>
      <w:r w:rsidRPr="00524ED0">
        <w:rPr>
          <w:rFonts w:ascii="Arial" w:hAnsi="Arial" w:cs="Arial"/>
          <w:highlight w:val="yellow"/>
        </w:rPr>
        <w:t>sociale, le caractère civil e</w:t>
      </w:r>
      <w:r w:rsidR="00FC4C38" w:rsidRPr="00524ED0">
        <w:rPr>
          <w:rFonts w:ascii="Arial" w:hAnsi="Arial" w:cs="Arial"/>
          <w:highlight w:val="yellow"/>
        </w:rPr>
        <w:t xml:space="preserve">t non religieux de l’obligation </w:t>
      </w:r>
      <w:r w:rsidRPr="00524ED0">
        <w:rPr>
          <w:rFonts w:ascii="Arial" w:hAnsi="Arial" w:cs="Arial"/>
          <w:highlight w:val="yellow"/>
        </w:rPr>
        <w:t>d’affiliation et le fait que l’affiliation d’un ecclésiastiq</w:t>
      </w:r>
      <w:r w:rsidR="00FC4C38" w:rsidRPr="00524ED0">
        <w:rPr>
          <w:rFonts w:ascii="Arial" w:hAnsi="Arial" w:cs="Arial"/>
          <w:highlight w:val="yellow"/>
        </w:rPr>
        <w:t xml:space="preserve">ue ne peut pas plus dépendre de </w:t>
      </w:r>
      <w:r w:rsidRPr="00524ED0">
        <w:rPr>
          <w:rFonts w:ascii="Arial" w:hAnsi="Arial" w:cs="Arial"/>
          <w:highlight w:val="yellow"/>
        </w:rPr>
        <w:t>règles établies par la congrégation religieuse dont il relève que l’affiliation d’</w:t>
      </w:r>
      <w:r w:rsidR="00FC4C38" w:rsidRPr="00524ED0">
        <w:rPr>
          <w:rFonts w:ascii="Arial" w:hAnsi="Arial" w:cs="Arial"/>
          <w:highlight w:val="yellow"/>
        </w:rPr>
        <w:t xml:space="preserve">un salarié </w:t>
      </w:r>
      <w:r w:rsidRPr="00524ED0">
        <w:rPr>
          <w:rFonts w:ascii="Arial" w:hAnsi="Arial" w:cs="Arial"/>
          <w:highlight w:val="yellow"/>
        </w:rPr>
        <w:t>ne dépend de règles qui seraient fixées par son employeur.</w:t>
      </w:r>
      <w:bookmarkStart w:id="0" w:name="_GoBack"/>
      <w:bookmarkEnd w:id="0"/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S’agissant du règlement intérieur, la situation jurid</w:t>
      </w:r>
      <w:r w:rsidR="00FC4C38">
        <w:rPr>
          <w:rFonts w:ascii="Arial" w:hAnsi="Arial" w:cs="Arial"/>
        </w:rPr>
        <w:t xml:space="preserve">ique s’est transformée puisque, </w:t>
      </w:r>
      <w:r w:rsidRPr="002B41C2">
        <w:rPr>
          <w:rFonts w:ascii="Arial" w:hAnsi="Arial" w:cs="Arial"/>
        </w:rPr>
        <w:t>par sa décision du 16 novembre 2011 (no 339582), le Conse</w:t>
      </w:r>
      <w:r w:rsidR="00FC4C38">
        <w:rPr>
          <w:rFonts w:ascii="Arial" w:hAnsi="Arial" w:cs="Arial"/>
        </w:rPr>
        <w:t xml:space="preserve">il d’État a déclaré qu’il était </w:t>
      </w:r>
      <w:r w:rsidRPr="002B41C2">
        <w:rPr>
          <w:rFonts w:ascii="Arial" w:hAnsi="Arial" w:cs="Arial"/>
        </w:rPr>
        <w:t>entaché d’illégalité. Il n’était, dès lors, plus besoin de ra</w:t>
      </w:r>
      <w:r w:rsidR="00FC4C38">
        <w:rPr>
          <w:rFonts w:ascii="Arial" w:hAnsi="Arial" w:cs="Arial"/>
        </w:rPr>
        <w:t xml:space="preserve">ppeler que ce règlement n’avait </w:t>
      </w:r>
      <w:r w:rsidRPr="002B41C2">
        <w:rPr>
          <w:rFonts w:ascii="Arial" w:hAnsi="Arial" w:cs="Arial"/>
        </w:rPr>
        <w:t>été approuvé par arrêté ministériel que le 24 juillet 198</w:t>
      </w:r>
      <w:r w:rsidR="00FC4C38">
        <w:rPr>
          <w:rFonts w:ascii="Arial" w:hAnsi="Arial" w:cs="Arial"/>
        </w:rPr>
        <w:t xml:space="preserve">9, postérieurement à la période </w:t>
      </w:r>
      <w:r w:rsidRPr="002B41C2">
        <w:rPr>
          <w:rFonts w:ascii="Arial" w:hAnsi="Arial" w:cs="Arial"/>
        </w:rPr>
        <w:t>litigieuse, et n’était donc pas opposable à l’assuré.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Plus nouvelle, à tout le moins plus complète, est l</w:t>
      </w:r>
      <w:r w:rsidR="00FC4C38">
        <w:rPr>
          <w:rFonts w:ascii="Arial" w:hAnsi="Arial" w:cs="Arial"/>
        </w:rPr>
        <w:t xml:space="preserve">a réponse aux moyens fondés sur </w:t>
      </w:r>
      <w:r w:rsidRPr="002B41C2">
        <w:rPr>
          <w:rFonts w:ascii="Arial" w:hAnsi="Arial" w:cs="Arial"/>
        </w:rPr>
        <w:t>la violation des articles L. 721-1 et D</w:t>
      </w:r>
      <w:r w:rsidR="00FC4C38">
        <w:rPr>
          <w:rFonts w:ascii="Arial" w:hAnsi="Arial" w:cs="Arial"/>
        </w:rPr>
        <w:t xml:space="preserve">. 721-11 du code de la sécurité sociale, dans leur </w:t>
      </w:r>
      <w:r w:rsidRPr="002B41C2">
        <w:rPr>
          <w:rFonts w:ascii="Arial" w:hAnsi="Arial" w:cs="Arial"/>
        </w:rPr>
        <w:t>rédaction applicable au litige, et portant sur la notion « d’exercice d’activité en</w:t>
      </w:r>
      <w:r w:rsidR="00FC4C38">
        <w:rPr>
          <w:rFonts w:ascii="Arial" w:hAnsi="Arial" w:cs="Arial"/>
        </w:rPr>
        <w:t xml:space="preserve"> tant </w:t>
      </w:r>
      <w:r w:rsidRPr="002B41C2">
        <w:rPr>
          <w:rFonts w:ascii="Arial" w:hAnsi="Arial" w:cs="Arial"/>
        </w:rPr>
        <w:t>que ministre du culte ou de membre d’une congrégatio</w:t>
      </w:r>
      <w:r w:rsidR="00FC4C38">
        <w:rPr>
          <w:rFonts w:ascii="Arial" w:hAnsi="Arial" w:cs="Arial"/>
        </w:rPr>
        <w:t xml:space="preserve">n ou collectivité religieuse », </w:t>
      </w:r>
      <w:r w:rsidRPr="002B41C2">
        <w:rPr>
          <w:rFonts w:ascii="Arial" w:hAnsi="Arial" w:cs="Arial"/>
        </w:rPr>
        <w:t>dont il était soutenu qu’elle ne pouvait être assimilée à</w:t>
      </w:r>
      <w:r w:rsidR="00FC4C38">
        <w:rPr>
          <w:rFonts w:ascii="Arial" w:hAnsi="Arial" w:cs="Arial"/>
        </w:rPr>
        <w:t xml:space="preserve"> l’activité d’un séminariste ou </w:t>
      </w:r>
      <w:r w:rsidRPr="002B41C2">
        <w:rPr>
          <w:rFonts w:ascii="Arial" w:hAnsi="Arial" w:cs="Arial"/>
        </w:rPr>
        <w:t>d’une novice.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La deuxième chambre considère qu’à partir du m</w:t>
      </w:r>
      <w:r w:rsidR="00FC4C38">
        <w:rPr>
          <w:rFonts w:ascii="Arial" w:hAnsi="Arial" w:cs="Arial"/>
        </w:rPr>
        <w:t xml:space="preserve">oment où était rappelé, dans ce </w:t>
      </w:r>
      <w:r w:rsidRPr="002B41C2">
        <w:rPr>
          <w:rFonts w:ascii="Arial" w:hAnsi="Arial" w:cs="Arial"/>
        </w:rPr>
        <w:t>domaine spécifique, le principe général de l’office du juge judiciair</w:t>
      </w:r>
      <w:r w:rsidR="00FC4C38">
        <w:rPr>
          <w:rFonts w:ascii="Arial" w:hAnsi="Arial" w:cs="Arial"/>
        </w:rPr>
        <w:t xml:space="preserve">e en matière d’assujettissement aux régimes de sécurité </w:t>
      </w:r>
      <w:r w:rsidRPr="002B41C2">
        <w:rPr>
          <w:rFonts w:ascii="Arial" w:hAnsi="Arial" w:cs="Arial"/>
        </w:rPr>
        <w:t>sociale, il importe, d’un</w:t>
      </w:r>
      <w:r w:rsidR="00FC4C38">
        <w:rPr>
          <w:rFonts w:ascii="Arial" w:hAnsi="Arial" w:cs="Arial"/>
        </w:rPr>
        <w:t xml:space="preserve">e part, de proposer une </w:t>
      </w:r>
      <w:r w:rsidRPr="00524ED0">
        <w:rPr>
          <w:rFonts w:ascii="Arial" w:hAnsi="Arial" w:cs="Arial"/>
          <w:highlight w:val="yellow"/>
        </w:rPr>
        <w:t>définition générale de l’activité de l’assuré pendant sa p</w:t>
      </w:r>
      <w:r w:rsidR="00FC4C38" w:rsidRPr="00524ED0">
        <w:rPr>
          <w:rFonts w:ascii="Arial" w:hAnsi="Arial" w:cs="Arial"/>
          <w:highlight w:val="yellow"/>
        </w:rPr>
        <w:t>ériode de formation religieuse,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d’autre part, de contrôler que le juge a constaté que, dans ch</w:t>
      </w:r>
      <w:r w:rsidR="00FC4C38">
        <w:rPr>
          <w:rFonts w:ascii="Arial" w:hAnsi="Arial" w:cs="Arial"/>
        </w:rPr>
        <w:t xml:space="preserve">aque cas d’espèce, des éléments </w:t>
      </w:r>
      <w:r w:rsidRPr="002B41C2">
        <w:rPr>
          <w:rFonts w:ascii="Arial" w:hAnsi="Arial" w:cs="Arial"/>
        </w:rPr>
        <w:t>de fait prouvent que l’assuré a réellement exercé une telle activité.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524ED0">
        <w:rPr>
          <w:rFonts w:ascii="Arial" w:hAnsi="Arial" w:cs="Arial"/>
          <w:highlight w:val="yellow"/>
        </w:rPr>
        <w:t>La définition générale retenue est celle d’un enga</w:t>
      </w:r>
      <w:r w:rsidR="00FC4C38" w:rsidRPr="00524ED0">
        <w:rPr>
          <w:rFonts w:ascii="Arial" w:hAnsi="Arial" w:cs="Arial"/>
          <w:highlight w:val="yellow"/>
        </w:rPr>
        <w:t xml:space="preserve">gement religieux de l’intéressé </w:t>
      </w:r>
      <w:r w:rsidRPr="00524ED0">
        <w:rPr>
          <w:rFonts w:ascii="Arial" w:hAnsi="Arial" w:cs="Arial"/>
          <w:highlight w:val="yellow"/>
        </w:rPr>
        <w:t>devant se manifester, notamment, par un mode de vie en</w:t>
      </w:r>
      <w:r w:rsidR="00FC4C38" w:rsidRPr="00524ED0">
        <w:rPr>
          <w:rFonts w:ascii="Arial" w:hAnsi="Arial" w:cs="Arial"/>
          <w:highlight w:val="yellow"/>
        </w:rPr>
        <w:t xml:space="preserve"> communauté et par une activité </w:t>
      </w:r>
      <w:r w:rsidRPr="00524ED0">
        <w:rPr>
          <w:rFonts w:ascii="Arial" w:hAnsi="Arial" w:cs="Arial"/>
          <w:highlight w:val="yellow"/>
        </w:rPr>
        <w:t>essentiellement exercée au service de sa religion.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Chaque décision de rejet des pourvois constate q</w:t>
      </w:r>
      <w:r w:rsidR="00FC4C38">
        <w:rPr>
          <w:rFonts w:ascii="Arial" w:hAnsi="Arial" w:cs="Arial"/>
        </w:rPr>
        <w:t xml:space="preserve">ue les juges du fond ont relevé </w:t>
      </w:r>
      <w:r w:rsidRPr="002B41C2">
        <w:rPr>
          <w:rFonts w:ascii="Arial" w:hAnsi="Arial" w:cs="Arial"/>
        </w:rPr>
        <w:t>plusieurs éléments de fait caractérisant un tel engage</w:t>
      </w:r>
      <w:r w:rsidR="00FC4C38">
        <w:rPr>
          <w:rFonts w:ascii="Arial" w:hAnsi="Arial" w:cs="Arial"/>
        </w:rPr>
        <w:t xml:space="preserve">ment, par exemple, s’astreindre </w:t>
      </w:r>
      <w:r w:rsidRPr="002B41C2">
        <w:rPr>
          <w:rFonts w:ascii="Arial" w:hAnsi="Arial" w:cs="Arial"/>
        </w:rPr>
        <w:t>à « un mode de vie communautaire imposé, dès leur e</w:t>
      </w:r>
      <w:r w:rsidR="00FC4C38">
        <w:rPr>
          <w:rFonts w:ascii="Arial" w:hAnsi="Arial" w:cs="Arial"/>
        </w:rPr>
        <w:t xml:space="preserve">ntrée, à chacun de ses membres, </w:t>
      </w:r>
      <w:r w:rsidRPr="002B41C2">
        <w:rPr>
          <w:rFonts w:ascii="Arial" w:hAnsi="Arial" w:cs="Arial"/>
        </w:rPr>
        <w:t>réunis par une volonté commune d’approfondissement d’une</w:t>
      </w:r>
      <w:r w:rsidR="00FC4C38">
        <w:rPr>
          <w:rFonts w:ascii="Arial" w:hAnsi="Arial" w:cs="Arial"/>
        </w:rPr>
        <w:t xml:space="preserve"> croyance et d’une spiritualité </w:t>
      </w:r>
      <w:r w:rsidRPr="002B41C2">
        <w:rPr>
          <w:rFonts w:ascii="Arial" w:hAnsi="Arial" w:cs="Arial"/>
        </w:rPr>
        <w:t>partagées en vue d’exercer un ministère sacerdota</w:t>
      </w:r>
      <w:r w:rsidR="00FC4C38">
        <w:rPr>
          <w:rFonts w:ascii="Arial" w:hAnsi="Arial" w:cs="Arial"/>
        </w:rPr>
        <w:t xml:space="preserve">l », ou encore « s’être trouvée </w:t>
      </w:r>
      <w:r w:rsidRPr="002B41C2">
        <w:rPr>
          <w:rFonts w:ascii="Arial" w:hAnsi="Arial" w:cs="Arial"/>
        </w:rPr>
        <w:t>dans une situation équivalente à celle d’une profe</w:t>
      </w:r>
      <w:r w:rsidR="00FC4C38">
        <w:rPr>
          <w:rFonts w:ascii="Arial" w:hAnsi="Arial" w:cs="Arial"/>
        </w:rPr>
        <w:t xml:space="preserve">sse ayant prononcé ses premiers </w:t>
      </w:r>
      <w:r w:rsidR="00FC4C38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 xml:space="preserve">, à savoir une situation de soumission et de dépendance </w:t>
      </w:r>
      <w:r w:rsidR="00FC4C38">
        <w:rPr>
          <w:rFonts w:ascii="Arial" w:hAnsi="Arial" w:cs="Arial"/>
        </w:rPr>
        <w:t xml:space="preserve">à l’autorité congrégationniste, </w:t>
      </w:r>
      <w:r w:rsidRPr="002B41C2">
        <w:rPr>
          <w:rFonts w:ascii="Arial" w:hAnsi="Arial" w:cs="Arial"/>
        </w:rPr>
        <w:t xml:space="preserve">s’obligeant à la pratique effective des </w:t>
      </w:r>
      <w:r w:rsidR="00FC4C38" w:rsidRPr="002B41C2">
        <w:rPr>
          <w:rFonts w:ascii="Arial" w:hAnsi="Arial" w:cs="Arial"/>
        </w:rPr>
        <w:t>vœux</w:t>
      </w:r>
      <w:r w:rsidRPr="002B41C2">
        <w:rPr>
          <w:rFonts w:ascii="Arial" w:hAnsi="Arial" w:cs="Arial"/>
        </w:rPr>
        <w:t xml:space="preserve"> dès ava</w:t>
      </w:r>
      <w:r w:rsidR="00FC4C38">
        <w:rPr>
          <w:rFonts w:ascii="Arial" w:hAnsi="Arial" w:cs="Arial"/>
        </w:rPr>
        <w:t xml:space="preserve">nt leur prononcé et participant </w:t>
      </w:r>
      <w:r w:rsidRPr="002B41C2">
        <w:rPr>
          <w:rFonts w:ascii="Arial" w:hAnsi="Arial" w:cs="Arial"/>
        </w:rPr>
        <w:t>aux activités notamment religieuses de celle-ci en contrepartie de la prise en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>charge de tous ses besoins, notamment matériels […] », a</w:t>
      </w:r>
      <w:r w:rsidR="00FC4C38">
        <w:rPr>
          <w:rFonts w:ascii="Arial" w:hAnsi="Arial" w:cs="Arial"/>
        </w:rPr>
        <w:t xml:space="preserve">voir ensuite pris l’habit « qui </w:t>
      </w:r>
      <w:r w:rsidRPr="002B41C2">
        <w:rPr>
          <w:rFonts w:ascii="Arial" w:hAnsi="Arial" w:cs="Arial"/>
        </w:rPr>
        <w:t>sera porté tout au long de la période du noviciat, cette période</w:t>
      </w:r>
      <w:r w:rsidR="00FC4C38">
        <w:rPr>
          <w:rFonts w:ascii="Arial" w:hAnsi="Arial" w:cs="Arial"/>
        </w:rPr>
        <w:t xml:space="preserve"> étant consacrée à la formation </w:t>
      </w:r>
      <w:r w:rsidRPr="002B41C2">
        <w:rPr>
          <w:rFonts w:ascii="Arial" w:hAnsi="Arial" w:cs="Arial"/>
        </w:rPr>
        <w:t>spirituelle, à la connaissance de la règle, à la pratique des exercices</w:t>
      </w:r>
      <w:r w:rsidR="00FC4C38">
        <w:rPr>
          <w:rFonts w:ascii="Arial" w:hAnsi="Arial" w:cs="Arial"/>
        </w:rPr>
        <w:t xml:space="preserve"> communs </w:t>
      </w:r>
      <w:r w:rsidRPr="002B41C2">
        <w:rPr>
          <w:rFonts w:ascii="Arial" w:hAnsi="Arial" w:cs="Arial"/>
        </w:rPr>
        <w:t>de la congrégation ».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 xml:space="preserve">Ensuite, chaque décision retient que les juges du </w:t>
      </w:r>
      <w:r w:rsidR="00FC4C38">
        <w:rPr>
          <w:rFonts w:ascii="Arial" w:hAnsi="Arial" w:cs="Arial"/>
        </w:rPr>
        <w:t xml:space="preserve">fond, appréciant souverainement </w:t>
      </w:r>
      <w:r w:rsidRPr="002B41C2">
        <w:rPr>
          <w:rFonts w:ascii="Arial" w:hAnsi="Arial" w:cs="Arial"/>
        </w:rPr>
        <w:t>la valeur et la portée des preuves qui caractérisent l’engag</w:t>
      </w:r>
      <w:r w:rsidR="00FC4C38">
        <w:rPr>
          <w:rFonts w:ascii="Arial" w:hAnsi="Arial" w:cs="Arial"/>
        </w:rPr>
        <w:t xml:space="preserve">ement religieux de l’intéressé, </w:t>
      </w:r>
      <w:r w:rsidRPr="002B41C2">
        <w:rPr>
          <w:rFonts w:ascii="Arial" w:hAnsi="Arial" w:cs="Arial"/>
        </w:rPr>
        <w:t>en ont exactement déduit que, dès son entrée au gra</w:t>
      </w:r>
      <w:r w:rsidR="00FC4C38">
        <w:rPr>
          <w:rFonts w:ascii="Arial" w:hAnsi="Arial" w:cs="Arial"/>
        </w:rPr>
        <w:t xml:space="preserve">nd séminaire ou dans une </w:t>
      </w:r>
      <w:r w:rsidRPr="002B41C2">
        <w:rPr>
          <w:rFonts w:ascii="Arial" w:hAnsi="Arial" w:cs="Arial"/>
        </w:rPr>
        <w:t>congrégation, il ou elle devait être considéré com</w:t>
      </w:r>
      <w:r w:rsidR="00FC4C38">
        <w:rPr>
          <w:rFonts w:ascii="Arial" w:hAnsi="Arial" w:cs="Arial"/>
        </w:rPr>
        <w:t xml:space="preserve">me membre d’une congrégation ou </w:t>
      </w:r>
      <w:r w:rsidRPr="002B41C2">
        <w:rPr>
          <w:rFonts w:ascii="Arial" w:hAnsi="Arial" w:cs="Arial"/>
        </w:rPr>
        <w:t>collectivité religieuse au sens de l’article L. 721-1 (actue</w:t>
      </w:r>
      <w:r w:rsidR="00FC4C38">
        <w:rPr>
          <w:rFonts w:ascii="Arial" w:hAnsi="Arial" w:cs="Arial"/>
        </w:rPr>
        <w:t xml:space="preserve">l article L. 382-15) du code de la sécurité </w:t>
      </w:r>
      <w:r w:rsidRPr="002B41C2">
        <w:rPr>
          <w:rFonts w:ascii="Arial" w:hAnsi="Arial" w:cs="Arial"/>
        </w:rPr>
        <w:t>sociale, de sorte que la période litigieuse d</w:t>
      </w:r>
      <w:r w:rsidR="00FC4C38">
        <w:rPr>
          <w:rFonts w:ascii="Arial" w:hAnsi="Arial" w:cs="Arial"/>
        </w:rPr>
        <w:t xml:space="preserve">evait être prise en compte dans </w:t>
      </w:r>
      <w:r w:rsidRPr="002B41C2">
        <w:rPr>
          <w:rFonts w:ascii="Arial" w:hAnsi="Arial" w:cs="Arial"/>
        </w:rPr>
        <w:t>le calcul de ses droits à pension.</w:t>
      </w:r>
    </w:p>
    <w:p w:rsidR="001D3AB5" w:rsidRPr="002B41C2" w:rsidRDefault="001D3AB5" w:rsidP="00647D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lastRenderedPageBreak/>
        <w:t>L’exigence d’une suffisante motivation quant aux faits caractérisant cette activité</w:t>
      </w:r>
      <w:r w:rsidR="00FC4C38">
        <w:rPr>
          <w:rFonts w:ascii="Arial" w:hAnsi="Arial" w:cs="Arial"/>
        </w:rPr>
        <w:t xml:space="preserve"> </w:t>
      </w:r>
      <w:r w:rsidRPr="002B41C2">
        <w:rPr>
          <w:rFonts w:ascii="Arial" w:hAnsi="Arial" w:cs="Arial"/>
        </w:rPr>
        <w:t xml:space="preserve">religieuse est mise en évidence – </w:t>
      </w:r>
      <w:r w:rsidRPr="002B41C2">
        <w:rPr>
          <w:rFonts w:ascii="Arial" w:hAnsi="Arial" w:cs="Arial"/>
          <w:i/>
          <w:iCs/>
        </w:rPr>
        <w:t xml:space="preserve">a contrario </w:t>
      </w:r>
      <w:r w:rsidRPr="002B41C2">
        <w:rPr>
          <w:rFonts w:ascii="Arial" w:hAnsi="Arial" w:cs="Arial"/>
        </w:rPr>
        <w:t>– par l</w:t>
      </w:r>
      <w:r w:rsidR="00FC4C38">
        <w:rPr>
          <w:rFonts w:ascii="Arial" w:hAnsi="Arial" w:cs="Arial"/>
        </w:rPr>
        <w:t xml:space="preserve">a cassation pour manque de base </w:t>
      </w:r>
      <w:r w:rsidRPr="002B41C2">
        <w:rPr>
          <w:rFonts w:ascii="Arial" w:hAnsi="Arial" w:cs="Arial"/>
        </w:rPr>
        <w:t>légale prononcée dans un des litiges soumis, à la même</w:t>
      </w:r>
      <w:r w:rsidR="00FC4C38">
        <w:rPr>
          <w:rFonts w:ascii="Arial" w:hAnsi="Arial" w:cs="Arial"/>
        </w:rPr>
        <w:t xml:space="preserve"> période, à la deuxième chambre </w:t>
      </w:r>
      <w:r w:rsidRPr="002B41C2">
        <w:rPr>
          <w:rFonts w:ascii="Arial" w:hAnsi="Arial" w:cs="Arial"/>
        </w:rPr>
        <w:t xml:space="preserve">(2e </w:t>
      </w:r>
      <w:proofErr w:type="spellStart"/>
      <w:r w:rsidRPr="002B41C2">
        <w:rPr>
          <w:rFonts w:ascii="Arial" w:hAnsi="Arial" w:cs="Arial"/>
        </w:rPr>
        <w:t>Civ</w:t>
      </w:r>
      <w:proofErr w:type="spellEnd"/>
      <w:r w:rsidRPr="002B41C2">
        <w:rPr>
          <w:rFonts w:ascii="Arial" w:hAnsi="Arial" w:cs="Arial"/>
        </w:rPr>
        <w:t>., 26 janvier 2012, pourvoi no 10-24.605) : « At</w:t>
      </w:r>
      <w:r w:rsidR="00FC4C38">
        <w:rPr>
          <w:rFonts w:ascii="Arial" w:hAnsi="Arial" w:cs="Arial"/>
        </w:rPr>
        <w:t xml:space="preserve">tendu que pour dire que doivent </w:t>
      </w:r>
      <w:r w:rsidRPr="002B41C2">
        <w:rPr>
          <w:rFonts w:ascii="Arial" w:hAnsi="Arial" w:cs="Arial"/>
        </w:rPr>
        <w:t xml:space="preserve">être validés douze trimestres supplémentaires au titre de la période du 1er </w:t>
      </w:r>
      <w:r w:rsidR="00FC4C38">
        <w:rPr>
          <w:rFonts w:ascii="Arial" w:hAnsi="Arial" w:cs="Arial"/>
        </w:rPr>
        <w:t xml:space="preserve">septembre </w:t>
      </w:r>
      <w:r w:rsidRPr="002B41C2">
        <w:rPr>
          <w:rFonts w:ascii="Arial" w:hAnsi="Arial" w:cs="Arial"/>
        </w:rPr>
        <w:t>1965 au 31 août 1968, l’arrêt retient qu’il n’est pas c</w:t>
      </w:r>
      <w:r w:rsidR="00FC4C38">
        <w:rPr>
          <w:rFonts w:ascii="Arial" w:hAnsi="Arial" w:cs="Arial"/>
        </w:rPr>
        <w:t xml:space="preserve">ontesté que Mme X… a été admise </w:t>
      </w:r>
      <w:r w:rsidRPr="002B41C2">
        <w:rPr>
          <w:rFonts w:ascii="Arial" w:hAnsi="Arial" w:cs="Arial"/>
        </w:rPr>
        <w:t xml:space="preserve">chez les </w:t>
      </w:r>
      <w:proofErr w:type="spellStart"/>
      <w:r w:rsidRPr="002B41C2">
        <w:rPr>
          <w:rFonts w:ascii="Arial" w:hAnsi="Arial" w:cs="Arial"/>
        </w:rPr>
        <w:t>Soeurs</w:t>
      </w:r>
      <w:proofErr w:type="spellEnd"/>
      <w:r w:rsidRPr="002B41C2">
        <w:rPr>
          <w:rFonts w:ascii="Arial" w:hAnsi="Arial" w:cs="Arial"/>
        </w:rPr>
        <w:t xml:space="preserve"> de la Charité de Besançon le 14 septe</w:t>
      </w:r>
      <w:r w:rsidR="00FC4C38">
        <w:rPr>
          <w:rFonts w:ascii="Arial" w:hAnsi="Arial" w:cs="Arial"/>
        </w:rPr>
        <w:t xml:space="preserve">mbre 1965 ; qu’elle est devenue </w:t>
      </w:r>
      <w:r w:rsidRPr="002B41C2">
        <w:rPr>
          <w:rFonts w:ascii="Arial" w:hAnsi="Arial" w:cs="Arial"/>
        </w:rPr>
        <w:t>à compter de cette date membre à part entière de l’</w:t>
      </w:r>
      <w:r w:rsidR="00FC4C38">
        <w:rPr>
          <w:rFonts w:ascii="Arial" w:hAnsi="Arial" w:cs="Arial"/>
        </w:rPr>
        <w:t xml:space="preserve">ensemble organisé que constitue </w:t>
      </w:r>
      <w:r w:rsidRPr="002B41C2">
        <w:rPr>
          <w:rFonts w:ascii="Arial" w:hAnsi="Arial" w:cs="Arial"/>
        </w:rPr>
        <w:t>cette congrégation ; Qu’en se déterminant ainsi, par des mot</w:t>
      </w:r>
      <w:r w:rsidR="00FC4C38">
        <w:rPr>
          <w:rFonts w:ascii="Arial" w:hAnsi="Arial" w:cs="Arial"/>
        </w:rPr>
        <w:t xml:space="preserve">ifs insuffisants à caractériser </w:t>
      </w:r>
      <w:r w:rsidRPr="002B41C2">
        <w:rPr>
          <w:rFonts w:ascii="Arial" w:hAnsi="Arial" w:cs="Arial"/>
        </w:rPr>
        <w:t>un engagement religieux de l’intéressée manif</w:t>
      </w:r>
      <w:r w:rsidR="00FC4C38">
        <w:rPr>
          <w:rFonts w:ascii="Arial" w:hAnsi="Arial" w:cs="Arial"/>
        </w:rPr>
        <w:t xml:space="preserve">esté, notamment, par un mode de </w:t>
      </w:r>
      <w:r w:rsidRPr="002B41C2">
        <w:rPr>
          <w:rFonts w:ascii="Arial" w:hAnsi="Arial" w:cs="Arial"/>
        </w:rPr>
        <w:t>vie en communauté et par une activité essentiellement exe</w:t>
      </w:r>
      <w:r w:rsidR="00FC4C38">
        <w:rPr>
          <w:rFonts w:ascii="Arial" w:hAnsi="Arial" w:cs="Arial"/>
        </w:rPr>
        <w:t xml:space="preserve">rcée au service de sa religion, </w:t>
      </w:r>
      <w:r w:rsidRPr="002B41C2">
        <w:rPr>
          <w:rFonts w:ascii="Arial" w:hAnsi="Arial" w:cs="Arial"/>
        </w:rPr>
        <w:t>la cour d’appel n’a pas donné de base légale à sa décision au regard du texte susvisé ».</w:t>
      </w:r>
    </w:p>
    <w:p w:rsidR="00CD0A34" w:rsidRPr="002B41C2" w:rsidRDefault="001D3AB5" w:rsidP="00FC4C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B41C2">
        <w:rPr>
          <w:rFonts w:ascii="Arial" w:hAnsi="Arial" w:cs="Arial"/>
        </w:rPr>
        <w:t>Les juges du fond doivent donc rechercher si la pers</w:t>
      </w:r>
      <w:r w:rsidR="00FC4C38">
        <w:rPr>
          <w:rFonts w:ascii="Arial" w:hAnsi="Arial" w:cs="Arial"/>
        </w:rPr>
        <w:t xml:space="preserve">onne qui réclame le bénéfice de </w:t>
      </w:r>
      <w:r w:rsidRPr="002B41C2">
        <w:rPr>
          <w:rFonts w:ascii="Arial" w:hAnsi="Arial" w:cs="Arial"/>
        </w:rPr>
        <w:t>la prise en compte, à titre gratuit, d’une période de formatio</w:t>
      </w:r>
      <w:r w:rsidR="00FC4C38">
        <w:rPr>
          <w:rFonts w:ascii="Arial" w:hAnsi="Arial" w:cs="Arial"/>
        </w:rPr>
        <w:t xml:space="preserve">n à la vie religieuse accomplie </w:t>
      </w:r>
      <w:r w:rsidRPr="002B41C2">
        <w:rPr>
          <w:rFonts w:ascii="Arial" w:hAnsi="Arial" w:cs="Arial"/>
        </w:rPr>
        <w:t>avant le 1er janvier 1979, avait effectivement et pl</w:t>
      </w:r>
      <w:r w:rsidR="00FC4C38">
        <w:rPr>
          <w:rFonts w:ascii="Arial" w:hAnsi="Arial" w:cs="Arial"/>
        </w:rPr>
        <w:t xml:space="preserve">einement consacré cette période </w:t>
      </w:r>
      <w:r w:rsidRPr="002B41C2">
        <w:rPr>
          <w:rFonts w:ascii="Arial" w:hAnsi="Arial" w:cs="Arial"/>
        </w:rPr>
        <w:t>de sa vie à cette formation.</w:t>
      </w:r>
    </w:p>
    <w:sectPr w:rsidR="00CD0A34" w:rsidRPr="002B41C2" w:rsidSect="00F0502D">
      <w:footerReference w:type="default" r:id="rId6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07" w:rsidRDefault="00143807" w:rsidP="0060486A">
      <w:pPr>
        <w:spacing w:after="0" w:line="240" w:lineRule="auto"/>
      </w:pPr>
      <w:r>
        <w:separator/>
      </w:r>
    </w:p>
  </w:endnote>
  <w:endnote w:type="continuationSeparator" w:id="0">
    <w:p w:rsidR="00143807" w:rsidRDefault="00143807" w:rsidP="0060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296537"/>
      <w:docPartObj>
        <w:docPartGallery w:val="Page Numbers (Bottom of Page)"/>
        <w:docPartUnique/>
      </w:docPartObj>
    </w:sdtPr>
    <w:sdtEndPr/>
    <w:sdtContent>
      <w:p w:rsidR="0060486A" w:rsidRDefault="006048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ACA">
          <w:rPr>
            <w:noProof/>
          </w:rPr>
          <w:t>1</w:t>
        </w:r>
        <w:r>
          <w:fldChar w:fldCharType="end"/>
        </w:r>
      </w:p>
    </w:sdtContent>
  </w:sdt>
  <w:p w:rsidR="0060486A" w:rsidRDefault="00604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07" w:rsidRDefault="00143807" w:rsidP="0060486A">
      <w:pPr>
        <w:spacing w:after="0" w:line="240" w:lineRule="auto"/>
      </w:pPr>
      <w:r>
        <w:separator/>
      </w:r>
    </w:p>
  </w:footnote>
  <w:footnote w:type="continuationSeparator" w:id="0">
    <w:p w:rsidR="00143807" w:rsidRDefault="00143807" w:rsidP="00604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B5"/>
    <w:rsid w:val="00143807"/>
    <w:rsid w:val="001D3AB5"/>
    <w:rsid w:val="002B41C2"/>
    <w:rsid w:val="00524ED0"/>
    <w:rsid w:val="0060486A"/>
    <w:rsid w:val="00647D76"/>
    <w:rsid w:val="008F1C8F"/>
    <w:rsid w:val="00CD0A34"/>
    <w:rsid w:val="00DC3ACA"/>
    <w:rsid w:val="00F0502D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71B91-F226-461B-890D-FC4051E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6A"/>
  </w:style>
  <w:style w:type="paragraph" w:styleId="Pieddepage">
    <w:name w:val="footer"/>
    <w:basedOn w:val="Normal"/>
    <w:link w:val="Pieddepag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1508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Joseph AUVINET</cp:lastModifiedBy>
  <cp:revision>2</cp:revision>
  <dcterms:created xsi:type="dcterms:W3CDTF">2017-10-21T08:48:00Z</dcterms:created>
  <dcterms:modified xsi:type="dcterms:W3CDTF">2017-10-21T08:48:00Z</dcterms:modified>
</cp:coreProperties>
</file>