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D6FD" w14:textId="77777777" w:rsidR="0072080C" w:rsidRPr="0072080C" w:rsidRDefault="0072080C" w:rsidP="0072080C">
      <w:pPr>
        <w:pBdr>
          <w:top w:val="single" w:sz="4" w:space="1" w:color="auto"/>
          <w:left w:val="single" w:sz="4" w:space="4" w:color="auto"/>
          <w:bottom w:val="single" w:sz="4" w:space="1" w:color="auto"/>
          <w:right w:val="single" w:sz="4" w:space="4" w:color="auto"/>
        </w:pBdr>
        <w:jc w:val="center"/>
        <w:rPr>
          <w:b/>
          <w:sz w:val="28"/>
        </w:rPr>
      </w:pPr>
      <w:r w:rsidRPr="0072080C">
        <w:rPr>
          <w:b/>
          <w:sz w:val="28"/>
        </w:rPr>
        <w:t>OBSERVATIONS SUR LE MEMOIRE CAVIMAC</w:t>
      </w:r>
    </w:p>
    <w:p w14:paraId="16F96BB9" w14:textId="77777777" w:rsidR="00E47AA3" w:rsidRPr="0072080C" w:rsidRDefault="0072080C" w:rsidP="0072080C">
      <w:pPr>
        <w:pBdr>
          <w:top w:val="single" w:sz="4" w:space="1" w:color="auto"/>
          <w:left w:val="single" w:sz="4" w:space="4" w:color="auto"/>
          <w:bottom w:val="single" w:sz="4" w:space="1" w:color="auto"/>
          <w:right w:val="single" w:sz="4" w:space="4" w:color="auto"/>
        </w:pBdr>
        <w:jc w:val="center"/>
        <w:rPr>
          <w:b/>
          <w:sz w:val="28"/>
        </w:rPr>
      </w:pPr>
      <w:r w:rsidRPr="0072080C">
        <w:rPr>
          <w:b/>
          <w:sz w:val="28"/>
        </w:rPr>
        <w:t>CONTRE M. MARGUET.</w:t>
      </w:r>
    </w:p>
    <w:p w14:paraId="79A65A71" w14:textId="77777777" w:rsidR="0072080C" w:rsidRDefault="0072080C" w:rsidP="0072080C">
      <w:pPr>
        <w:spacing w:before="360"/>
        <w:rPr>
          <w:szCs w:val="24"/>
        </w:rPr>
      </w:pPr>
      <w:r>
        <w:rPr>
          <w:b/>
          <w:szCs w:val="24"/>
        </w:rPr>
        <w:t xml:space="preserve">Pourvoi : </w:t>
      </w:r>
      <w:r w:rsidRPr="0072080C">
        <w:rPr>
          <w:b/>
          <w:szCs w:val="24"/>
        </w:rPr>
        <w:t>R</w:t>
      </w:r>
      <w:r>
        <w:rPr>
          <w:b/>
          <w:szCs w:val="24"/>
        </w:rPr>
        <w:t xml:space="preserve"> </w:t>
      </w:r>
      <w:r w:rsidRPr="0072080C">
        <w:rPr>
          <w:b/>
          <w:szCs w:val="24"/>
        </w:rPr>
        <w:t>13</w:t>
      </w:r>
      <w:r>
        <w:rPr>
          <w:b/>
          <w:szCs w:val="24"/>
        </w:rPr>
        <w:t xml:space="preserve">- </w:t>
      </w:r>
      <w:r w:rsidRPr="0072080C">
        <w:rPr>
          <w:b/>
          <w:szCs w:val="24"/>
        </w:rPr>
        <w:t>23.181</w:t>
      </w:r>
    </w:p>
    <w:p w14:paraId="7DE890C4" w14:textId="77777777" w:rsidR="0072080C" w:rsidRDefault="0072080C" w:rsidP="0072080C">
      <w:pPr>
        <w:rPr>
          <w:szCs w:val="24"/>
        </w:rPr>
      </w:pPr>
      <w:r>
        <w:rPr>
          <w:szCs w:val="24"/>
        </w:rPr>
        <w:t>CAVIMAC c/ MARGUET</w:t>
      </w:r>
    </w:p>
    <w:p w14:paraId="5E06A8CF" w14:textId="77777777" w:rsidR="0072080C" w:rsidRDefault="0072080C" w:rsidP="0072080C">
      <w:pPr>
        <w:rPr>
          <w:szCs w:val="24"/>
        </w:rPr>
      </w:pPr>
    </w:p>
    <w:p w14:paraId="408705E9" w14:textId="77777777" w:rsidR="0072080C" w:rsidRDefault="0072080C" w:rsidP="0072080C">
      <w:pPr>
        <w:rPr>
          <w:szCs w:val="24"/>
        </w:rPr>
      </w:pPr>
      <w:r>
        <w:rPr>
          <w:szCs w:val="24"/>
        </w:rPr>
        <w:t>Sommaire.</w:t>
      </w:r>
    </w:p>
    <w:p w14:paraId="16FA8706" w14:textId="77777777" w:rsidR="00EC2758" w:rsidRPr="00D76007" w:rsidRDefault="00182F45">
      <w:pPr>
        <w:pStyle w:val="TM1"/>
        <w:tabs>
          <w:tab w:val="left" w:pos="482"/>
          <w:tab w:val="right" w:leader="dot" w:pos="9062"/>
        </w:tabs>
        <w:rPr>
          <w:rFonts w:ascii="Calibri" w:eastAsia="Times New Roman" w:hAnsi="Calibri"/>
          <w:b w:val="0"/>
          <w:caps w:val="0"/>
          <w:noProof/>
          <w:sz w:val="22"/>
          <w:lang w:eastAsia="fr-FR"/>
        </w:rPr>
      </w:pPr>
      <w:r>
        <w:rPr>
          <w:szCs w:val="24"/>
        </w:rPr>
        <w:fldChar w:fldCharType="begin"/>
      </w:r>
      <w:r>
        <w:rPr>
          <w:szCs w:val="24"/>
        </w:rPr>
        <w:instrText xml:space="preserve"> TOC \o "1-3" \h \z \u </w:instrText>
      </w:r>
      <w:r>
        <w:rPr>
          <w:szCs w:val="24"/>
        </w:rPr>
        <w:fldChar w:fldCharType="separate"/>
      </w:r>
      <w:hyperlink w:anchor="_Toc378424500" w:history="1">
        <w:r w:rsidR="00EC2758" w:rsidRPr="00AC01C7">
          <w:rPr>
            <w:rStyle w:val="Lienhypertexte"/>
            <w:noProof/>
          </w:rPr>
          <w:t>1</w:t>
        </w:r>
        <w:r w:rsidR="00EC2758" w:rsidRPr="00D76007">
          <w:rPr>
            <w:rFonts w:ascii="Calibri" w:eastAsia="Times New Roman" w:hAnsi="Calibri"/>
            <w:b w:val="0"/>
            <w:caps w:val="0"/>
            <w:noProof/>
            <w:sz w:val="22"/>
            <w:lang w:eastAsia="fr-FR"/>
          </w:rPr>
          <w:tab/>
        </w:r>
        <w:r w:rsidR="00EC2758" w:rsidRPr="00AC01C7">
          <w:rPr>
            <w:rStyle w:val="Lienhypertexte"/>
            <w:noProof/>
          </w:rPr>
          <w:t>Analyse du mémoire Cavimac</w:t>
        </w:r>
        <w:r w:rsidR="00EC2758">
          <w:rPr>
            <w:noProof/>
            <w:webHidden/>
          </w:rPr>
          <w:tab/>
        </w:r>
        <w:r w:rsidR="00EC2758">
          <w:rPr>
            <w:noProof/>
            <w:webHidden/>
          </w:rPr>
          <w:fldChar w:fldCharType="begin"/>
        </w:r>
        <w:r w:rsidR="00EC2758">
          <w:rPr>
            <w:noProof/>
            <w:webHidden/>
          </w:rPr>
          <w:instrText xml:space="preserve"> PAGEREF _Toc378424500 \h </w:instrText>
        </w:r>
        <w:r w:rsidR="00EC2758">
          <w:rPr>
            <w:noProof/>
            <w:webHidden/>
          </w:rPr>
        </w:r>
        <w:r w:rsidR="00EC2758">
          <w:rPr>
            <w:noProof/>
            <w:webHidden/>
          </w:rPr>
          <w:fldChar w:fldCharType="separate"/>
        </w:r>
        <w:r w:rsidR="00EC2758">
          <w:rPr>
            <w:noProof/>
            <w:webHidden/>
          </w:rPr>
          <w:t>2</w:t>
        </w:r>
        <w:r w:rsidR="00EC2758">
          <w:rPr>
            <w:noProof/>
            <w:webHidden/>
          </w:rPr>
          <w:fldChar w:fldCharType="end"/>
        </w:r>
      </w:hyperlink>
    </w:p>
    <w:p w14:paraId="241AC0AE"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01" w:history="1">
        <w:r w:rsidRPr="00AC01C7">
          <w:rPr>
            <w:rStyle w:val="Lienhypertexte"/>
            <w:noProof/>
          </w:rPr>
          <w:t>1.1</w:t>
        </w:r>
        <w:r w:rsidRPr="00D76007">
          <w:rPr>
            <w:rFonts w:ascii="Calibri" w:eastAsia="Times New Roman" w:hAnsi="Calibri"/>
            <w:b w:val="0"/>
            <w:caps w:val="0"/>
            <w:noProof/>
            <w:lang w:eastAsia="fr-FR"/>
          </w:rPr>
          <w:tab/>
        </w:r>
        <w:r w:rsidRPr="00AC01C7">
          <w:rPr>
            <w:rStyle w:val="Lienhypertexte"/>
            <w:noProof/>
          </w:rPr>
          <w:t>ANALYSE DU MEMOIRE CAVIMAC contre M. MARGUET.</w:t>
        </w:r>
        <w:r>
          <w:rPr>
            <w:noProof/>
            <w:webHidden/>
          </w:rPr>
          <w:tab/>
        </w:r>
        <w:r>
          <w:rPr>
            <w:noProof/>
            <w:webHidden/>
          </w:rPr>
          <w:fldChar w:fldCharType="begin"/>
        </w:r>
        <w:r>
          <w:rPr>
            <w:noProof/>
            <w:webHidden/>
          </w:rPr>
          <w:instrText xml:space="preserve"> PAGEREF _Toc378424501 \h </w:instrText>
        </w:r>
        <w:r>
          <w:rPr>
            <w:noProof/>
            <w:webHidden/>
          </w:rPr>
        </w:r>
        <w:r>
          <w:rPr>
            <w:noProof/>
            <w:webHidden/>
          </w:rPr>
          <w:fldChar w:fldCharType="separate"/>
        </w:r>
        <w:r>
          <w:rPr>
            <w:noProof/>
            <w:webHidden/>
          </w:rPr>
          <w:t>2</w:t>
        </w:r>
        <w:r>
          <w:rPr>
            <w:noProof/>
            <w:webHidden/>
          </w:rPr>
          <w:fldChar w:fldCharType="end"/>
        </w:r>
      </w:hyperlink>
    </w:p>
    <w:p w14:paraId="315EA256"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02" w:history="1">
        <w:r w:rsidRPr="00AC01C7">
          <w:rPr>
            <w:rStyle w:val="Lienhypertexte"/>
            <w:noProof/>
          </w:rPr>
          <w:t>1.1.1</w:t>
        </w:r>
        <w:r w:rsidRPr="00D76007">
          <w:rPr>
            <w:rFonts w:ascii="Calibri" w:eastAsia="Times New Roman" w:hAnsi="Calibri"/>
            <w:smallCaps w:val="0"/>
            <w:noProof/>
            <w:sz w:val="22"/>
            <w:lang w:eastAsia="fr-FR"/>
          </w:rPr>
          <w:tab/>
        </w:r>
        <w:r w:rsidRPr="00AC01C7">
          <w:rPr>
            <w:rStyle w:val="Lienhypertexte"/>
            <w:noProof/>
          </w:rPr>
          <w:t>Moyen unique en trois branches :</w:t>
        </w:r>
        <w:r>
          <w:rPr>
            <w:noProof/>
            <w:webHidden/>
          </w:rPr>
          <w:tab/>
        </w:r>
        <w:r>
          <w:rPr>
            <w:noProof/>
            <w:webHidden/>
          </w:rPr>
          <w:fldChar w:fldCharType="begin"/>
        </w:r>
        <w:r>
          <w:rPr>
            <w:noProof/>
            <w:webHidden/>
          </w:rPr>
          <w:instrText xml:space="preserve"> PAGEREF _Toc378424502 \h </w:instrText>
        </w:r>
        <w:r>
          <w:rPr>
            <w:noProof/>
            <w:webHidden/>
          </w:rPr>
        </w:r>
        <w:r>
          <w:rPr>
            <w:noProof/>
            <w:webHidden/>
          </w:rPr>
          <w:fldChar w:fldCharType="separate"/>
        </w:r>
        <w:r>
          <w:rPr>
            <w:noProof/>
            <w:webHidden/>
          </w:rPr>
          <w:t>2</w:t>
        </w:r>
        <w:r>
          <w:rPr>
            <w:noProof/>
            <w:webHidden/>
          </w:rPr>
          <w:fldChar w:fldCharType="end"/>
        </w:r>
      </w:hyperlink>
    </w:p>
    <w:p w14:paraId="16868FE4"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03" w:history="1">
        <w:r w:rsidRPr="00AC01C7">
          <w:rPr>
            <w:rStyle w:val="Lienhypertexte"/>
            <w:noProof/>
          </w:rPr>
          <w:t>1.1.2</w:t>
        </w:r>
        <w:r w:rsidRPr="00D76007">
          <w:rPr>
            <w:rFonts w:ascii="Calibri" w:eastAsia="Times New Roman" w:hAnsi="Calibri"/>
            <w:smallCaps w:val="0"/>
            <w:noProof/>
            <w:sz w:val="22"/>
            <w:lang w:eastAsia="fr-FR"/>
          </w:rPr>
          <w:tab/>
        </w:r>
        <w:r w:rsidRPr="00AC01C7">
          <w:rPr>
            <w:rStyle w:val="Lienhypertexte"/>
            <w:noProof/>
          </w:rPr>
          <w:t>À l’appui de chacune des branches :</w:t>
        </w:r>
        <w:r>
          <w:rPr>
            <w:noProof/>
            <w:webHidden/>
          </w:rPr>
          <w:tab/>
        </w:r>
        <w:r>
          <w:rPr>
            <w:noProof/>
            <w:webHidden/>
          </w:rPr>
          <w:fldChar w:fldCharType="begin"/>
        </w:r>
        <w:r>
          <w:rPr>
            <w:noProof/>
            <w:webHidden/>
          </w:rPr>
          <w:instrText xml:space="preserve"> PAGEREF _Toc378424503 \h </w:instrText>
        </w:r>
        <w:r>
          <w:rPr>
            <w:noProof/>
            <w:webHidden/>
          </w:rPr>
        </w:r>
        <w:r>
          <w:rPr>
            <w:noProof/>
            <w:webHidden/>
          </w:rPr>
          <w:fldChar w:fldCharType="separate"/>
        </w:r>
        <w:r>
          <w:rPr>
            <w:noProof/>
            <w:webHidden/>
          </w:rPr>
          <w:t>2</w:t>
        </w:r>
        <w:r>
          <w:rPr>
            <w:noProof/>
            <w:webHidden/>
          </w:rPr>
          <w:fldChar w:fldCharType="end"/>
        </w:r>
      </w:hyperlink>
    </w:p>
    <w:p w14:paraId="434ADEB7"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04" w:history="1">
        <w:r w:rsidRPr="00AC01C7">
          <w:rPr>
            <w:rStyle w:val="Lienhypertexte"/>
            <w:noProof/>
          </w:rPr>
          <w:t>1.2</w:t>
        </w:r>
        <w:r w:rsidRPr="00D76007">
          <w:rPr>
            <w:rFonts w:ascii="Calibri" w:eastAsia="Times New Roman" w:hAnsi="Calibri"/>
            <w:b w:val="0"/>
            <w:caps w:val="0"/>
            <w:noProof/>
            <w:lang w:eastAsia="fr-FR"/>
          </w:rPr>
          <w:tab/>
        </w:r>
        <w:r w:rsidRPr="00AC01C7">
          <w:rPr>
            <w:rStyle w:val="Lienhypertexte"/>
            <w:noProof/>
          </w:rPr>
          <w:t>Comparaison avec les précédents mémoires Cavimac.</w:t>
        </w:r>
        <w:r>
          <w:rPr>
            <w:noProof/>
            <w:webHidden/>
          </w:rPr>
          <w:tab/>
        </w:r>
        <w:r>
          <w:rPr>
            <w:noProof/>
            <w:webHidden/>
          </w:rPr>
          <w:fldChar w:fldCharType="begin"/>
        </w:r>
        <w:r>
          <w:rPr>
            <w:noProof/>
            <w:webHidden/>
          </w:rPr>
          <w:instrText xml:space="preserve"> PAGEREF _Toc378424504 \h </w:instrText>
        </w:r>
        <w:r>
          <w:rPr>
            <w:noProof/>
            <w:webHidden/>
          </w:rPr>
        </w:r>
        <w:r>
          <w:rPr>
            <w:noProof/>
            <w:webHidden/>
          </w:rPr>
          <w:fldChar w:fldCharType="separate"/>
        </w:r>
        <w:r>
          <w:rPr>
            <w:noProof/>
            <w:webHidden/>
          </w:rPr>
          <w:t>3</w:t>
        </w:r>
        <w:r>
          <w:rPr>
            <w:noProof/>
            <w:webHidden/>
          </w:rPr>
          <w:fldChar w:fldCharType="end"/>
        </w:r>
      </w:hyperlink>
    </w:p>
    <w:p w14:paraId="2A4EF7DC"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05" w:history="1">
        <w:r w:rsidRPr="00AC01C7">
          <w:rPr>
            <w:rStyle w:val="Lienhypertexte"/>
            <w:noProof/>
          </w:rPr>
          <w:t>1.2.1</w:t>
        </w:r>
        <w:r w:rsidRPr="00D76007">
          <w:rPr>
            <w:rFonts w:ascii="Calibri" w:eastAsia="Times New Roman" w:hAnsi="Calibri"/>
            <w:smallCaps w:val="0"/>
            <w:noProof/>
            <w:sz w:val="22"/>
            <w:lang w:eastAsia="fr-FR"/>
          </w:rPr>
          <w:tab/>
        </w:r>
        <w:r w:rsidRPr="00AC01C7">
          <w:rPr>
            <w:rStyle w:val="Lienhypertexte"/>
            <w:noProof/>
          </w:rPr>
          <w:t>Comparaison avec mémoire contre G BARTHOULOT.</w:t>
        </w:r>
        <w:r>
          <w:rPr>
            <w:noProof/>
            <w:webHidden/>
          </w:rPr>
          <w:tab/>
        </w:r>
        <w:r>
          <w:rPr>
            <w:noProof/>
            <w:webHidden/>
          </w:rPr>
          <w:fldChar w:fldCharType="begin"/>
        </w:r>
        <w:r>
          <w:rPr>
            <w:noProof/>
            <w:webHidden/>
          </w:rPr>
          <w:instrText xml:space="preserve"> PAGEREF _Toc378424505 \h </w:instrText>
        </w:r>
        <w:r>
          <w:rPr>
            <w:noProof/>
            <w:webHidden/>
          </w:rPr>
        </w:r>
        <w:r>
          <w:rPr>
            <w:noProof/>
            <w:webHidden/>
          </w:rPr>
          <w:fldChar w:fldCharType="separate"/>
        </w:r>
        <w:r>
          <w:rPr>
            <w:noProof/>
            <w:webHidden/>
          </w:rPr>
          <w:t>3</w:t>
        </w:r>
        <w:r>
          <w:rPr>
            <w:noProof/>
            <w:webHidden/>
          </w:rPr>
          <w:fldChar w:fldCharType="end"/>
        </w:r>
      </w:hyperlink>
    </w:p>
    <w:p w14:paraId="3287838C"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06" w:history="1">
        <w:r w:rsidRPr="00AC01C7">
          <w:rPr>
            <w:rStyle w:val="Lienhypertexte"/>
            <w:noProof/>
          </w:rPr>
          <w:t>1.2.2</w:t>
        </w:r>
        <w:r w:rsidRPr="00D76007">
          <w:rPr>
            <w:rFonts w:ascii="Calibri" w:eastAsia="Times New Roman" w:hAnsi="Calibri"/>
            <w:smallCaps w:val="0"/>
            <w:noProof/>
            <w:sz w:val="22"/>
            <w:lang w:eastAsia="fr-FR"/>
          </w:rPr>
          <w:tab/>
        </w:r>
        <w:r w:rsidRPr="00AC01C7">
          <w:rPr>
            <w:rStyle w:val="Lienhypertexte"/>
            <w:noProof/>
          </w:rPr>
          <w:t>Comparaison avec mémoire contre JM Steiger.</w:t>
        </w:r>
        <w:r>
          <w:rPr>
            <w:noProof/>
            <w:webHidden/>
          </w:rPr>
          <w:tab/>
        </w:r>
        <w:r>
          <w:rPr>
            <w:noProof/>
            <w:webHidden/>
          </w:rPr>
          <w:fldChar w:fldCharType="begin"/>
        </w:r>
        <w:r>
          <w:rPr>
            <w:noProof/>
            <w:webHidden/>
          </w:rPr>
          <w:instrText xml:space="preserve"> PAGEREF _Toc378424506 \h </w:instrText>
        </w:r>
        <w:r>
          <w:rPr>
            <w:noProof/>
            <w:webHidden/>
          </w:rPr>
        </w:r>
        <w:r>
          <w:rPr>
            <w:noProof/>
            <w:webHidden/>
          </w:rPr>
          <w:fldChar w:fldCharType="separate"/>
        </w:r>
        <w:r>
          <w:rPr>
            <w:noProof/>
            <w:webHidden/>
          </w:rPr>
          <w:t>3</w:t>
        </w:r>
        <w:r>
          <w:rPr>
            <w:noProof/>
            <w:webHidden/>
          </w:rPr>
          <w:fldChar w:fldCharType="end"/>
        </w:r>
      </w:hyperlink>
    </w:p>
    <w:p w14:paraId="13CE566C"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07" w:history="1">
        <w:r w:rsidRPr="00AC01C7">
          <w:rPr>
            <w:rStyle w:val="Lienhypertexte"/>
            <w:noProof/>
          </w:rPr>
          <w:t>1.2.3</w:t>
        </w:r>
        <w:r w:rsidRPr="00D76007">
          <w:rPr>
            <w:rFonts w:ascii="Calibri" w:eastAsia="Times New Roman" w:hAnsi="Calibri"/>
            <w:smallCaps w:val="0"/>
            <w:noProof/>
            <w:sz w:val="22"/>
            <w:lang w:eastAsia="fr-FR"/>
          </w:rPr>
          <w:tab/>
        </w:r>
        <w:r w:rsidRPr="00AC01C7">
          <w:rPr>
            <w:rStyle w:val="Lienhypertexte"/>
            <w:noProof/>
          </w:rPr>
          <w:t>Comparaison avec mémoire contre R MENET.</w:t>
        </w:r>
        <w:r>
          <w:rPr>
            <w:noProof/>
            <w:webHidden/>
          </w:rPr>
          <w:tab/>
        </w:r>
        <w:r>
          <w:rPr>
            <w:noProof/>
            <w:webHidden/>
          </w:rPr>
          <w:fldChar w:fldCharType="begin"/>
        </w:r>
        <w:r>
          <w:rPr>
            <w:noProof/>
            <w:webHidden/>
          </w:rPr>
          <w:instrText xml:space="preserve"> PAGEREF _Toc378424507 \h </w:instrText>
        </w:r>
        <w:r>
          <w:rPr>
            <w:noProof/>
            <w:webHidden/>
          </w:rPr>
        </w:r>
        <w:r>
          <w:rPr>
            <w:noProof/>
            <w:webHidden/>
          </w:rPr>
          <w:fldChar w:fldCharType="separate"/>
        </w:r>
        <w:r>
          <w:rPr>
            <w:noProof/>
            <w:webHidden/>
          </w:rPr>
          <w:t>3</w:t>
        </w:r>
        <w:r>
          <w:rPr>
            <w:noProof/>
            <w:webHidden/>
          </w:rPr>
          <w:fldChar w:fldCharType="end"/>
        </w:r>
      </w:hyperlink>
    </w:p>
    <w:p w14:paraId="6DD6286D"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08" w:history="1">
        <w:r w:rsidRPr="00AC01C7">
          <w:rPr>
            <w:rStyle w:val="Lienhypertexte"/>
            <w:noProof/>
          </w:rPr>
          <w:t>1.3</w:t>
        </w:r>
        <w:r w:rsidRPr="00D76007">
          <w:rPr>
            <w:rFonts w:ascii="Calibri" w:eastAsia="Times New Roman" w:hAnsi="Calibri"/>
            <w:b w:val="0"/>
            <w:caps w:val="0"/>
            <w:noProof/>
            <w:lang w:eastAsia="fr-FR"/>
          </w:rPr>
          <w:tab/>
        </w:r>
        <w:r w:rsidRPr="00AC01C7">
          <w:rPr>
            <w:rStyle w:val="Lienhypertexte"/>
            <w:noProof/>
          </w:rPr>
          <w:t>Bilan.</w:t>
        </w:r>
        <w:r>
          <w:rPr>
            <w:noProof/>
            <w:webHidden/>
          </w:rPr>
          <w:tab/>
        </w:r>
        <w:r>
          <w:rPr>
            <w:noProof/>
            <w:webHidden/>
          </w:rPr>
          <w:fldChar w:fldCharType="begin"/>
        </w:r>
        <w:r>
          <w:rPr>
            <w:noProof/>
            <w:webHidden/>
          </w:rPr>
          <w:instrText xml:space="preserve"> PAGEREF _Toc378424508 \h </w:instrText>
        </w:r>
        <w:r>
          <w:rPr>
            <w:noProof/>
            <w:webHidden/>
          </w:rPr>
        </w:r>
        <w:r>
          <w:rPr>
            <w:noProof/>
            <w:webHidden/>
          </w:rPr>
          <w:fldChar w:fldCharType="separate"/>
        </w:r>
        <w:r>
          <w:rPr>
            <w:noProof/>
            <w:webHidden/>
          </w:rPr>
          <w:t>3</w:t>
        </w:r>
        <w:r>
          <w:rPr>
            <w:noProof/>
            <w:webHidden/>
          </w:rPr>
          <w:fldChar w:fldCharType="end"/>
        </w:r>
      </w:hyperlink>
    </w:p>
    <w:p w14:paraId="4BD9CA78" w14:textId="77777777" w:rsidR="00EC2758" w:rsidRPr="00D76007" w:rsidRDefault="00EC2758">
      <w:pPr>
        <w:pStyle w:val="TM1"/>
        <w:tabs>
          <w:tab w:val="left" w:pos="482"/>
          <w:tab w:val="right" w:leader="dot" w:pos="9062"/>
        </w:tabs>
        <w:rPr>
          <w:rFonts w:ascii="Calibri" w:eastAsia="Times New Roman" w:hAnsi="Calibri"/>
          <w:b w:val="0"/>
          <w:caps w:val="0"/>
          <w:noProof/>
          <w:sz w:val="22"/>
          <w:lang w:eastAsia="fr-FR"/>
        </w:rPr>
      </w:pPr>
      <w:hyperlink w:anchor="_Toc378424509" w:history="1">
        <w:r w:rsidRPr="00AC01C7">
          <w:rPr>
            <w:rStyle w:val="Lienhypertexte"/>
            <w:noProof/>
          </w:rPr>
          <w:t>2</w:t>
        </w:r>
        <w:r w:rsidRPr="00D76007">
          <w:rPr>
            <w:rFonts w:ascii="Calibri" w:eastAsia="Times New Roman" w:hAnsi="Calibri"/>
            <w:b w:val="0"/>
            <w:caps w:val="0"/>
            <w:noProof/>
            <w:sz w:val="22"/>
            <w:lang w:eastAsia="fr-FR"/>
          </w:rPr>
          <w:tab/>
        </w:r>
        <w:r w:rsidRPr="00AC01C7">
          <w:rPr>
            <w:rStyle w:val="Lienhypertexte"/>
            <w:noProof/>
          </w:rPr>
          <w:t>Observations en réplique au mémoire adverse.</w:t>
        </w:r>
        <w:r>
          <w:rPr>
            <w:noProof/>
            <w:webHidden/>
          </w:rPr>
          <w:tab/>
        </w:r>
        <w:r>
          <w:rPr>
            <w:noProof/>
            <w:webHidden/>
          </w:rPr>
          <w:fldChar w:fldCharType="begin"/>
        </w:r>
        <w:r>
          <w:rPr>
            <w:noProof/>
            <w:webHidden/>
          </w:rPr>
          <w:instrText xml:space="preserve"> PAGEREF _Toc378424509 \h </w:instrText>
        </w:r>
        <w:r>
          <w:rPr>
            <w:noProof/>
            <w:webHidden/>
          </w:rPr>
        </w:r>
        <w:r>
          <w:rPr>
            <w:noProof/>
            <w:webHidden/>
          </w:rPr>
          <w:fldChar w:fldCharType="separate"/>
        </w:r>
        <w:r>
          <w:rPr>
            <w:noProof/>
            <w:webHidden/>
          </w:rPr>
          <w:t>4</w:t>
        </w:r>
        <w:r>
          <w:rPr>
            <w:noProof/>
            <w:webHidden/>
          </w:rPr>
          <w:fldChar w:fldCharType="end"/>
        </w:r>
      </w:hyperlink>
    </w:p>
    <w:p w14:paraId="7D393495" w14:textId="77777777" w:rsidR="00EC2758" w:rsidRPr="00D76007" w:rsidRDefault="00EC2758">
      <w:pPr>
        <w:pStyle w:val="TM1"/>
        <w:tabs>
          <w:tab w:val="left" w:pos="482"/>
          <w:tab w:val="right" w:leader="dot" w:pos="9062"/>
        </w:tabs>
        <w:rPr>
          <w:rFonts w:ascii="Calibri" w:eastAsia="Times New Roman" w:hAnsi="Calibri"/>
          <w:b w:val="0"/>
          <w:caps w:val="0"/>
          <w:noProof/>
          <w:sz w:val="22"/>
          <w:lang w:eastAsia="fr-FR"/>
        </w:rPr>
      </w:pPr>
      <w:hyperlink w:anchor="_Toc378424510" w:history="1">
        <w:r w:rsidRPr="00AC01C7">
          <w:rPr>
            <w:rStyle w:val="Lienhypertexte"/>
            <w:noProof/>
          </w:rPr>
          <w:t>3</w:t>
        </w:r>
        <w:r w:rsidRPr="00D76007">
          <w:rPr>
            <w:rFonts w:ascii="Calibri" w:eastAsia="Times New Roman" w:hAnsi="Calibri"/>
            <w:b w:val="0"/>
            <w:caps w:val="0"/>
            <w:noProof/>
            <w:sz w:val="22"/>
            <w:lang w:eastAsia="fr-FR"/>
          </w:rPr>
          <w:tab/>
        </w:r>
        <w:r w:rsidRPr="00AC01C7">
          <w:rPr>
            <w:rStyle w:val="Lienhypertexte"/>
            <w:noProof/>
          </w:rPr>
          <w:t>Elements de réponse à l’argument de forclusion.</w:t>
        </w:r>
        <w:r>
          <w:rPr>
            <w:noProof/>
            <w:webHidden/>
          </w:rPr>
          <w:tab/>
        </w:r>
        <w:r>
          <w:rPr>
            <w:noProof/>
            <w:webHidden/>
          </w:rPr>
          <w:fldChar w:fldCharType="begin"/>
        </w:r>
        <w:r>
          <w:rPr>
            <w:noProof/>
            <w:webHidden/>
          </w:rPr>
          <w:instrText xml:space="preserve"> PAGEREF _Toc378424510 \h </w:instrText>
        </w:r>
        <w:r>
          <w:rPr>
            <w:noProof/>
            <w:webHidden/>
          </w:rPr>
        </w:r>
        <w:r>
          <w:rPr>
            <w:noProof/>
            <w:webHidden/>
          </w:rPr>
          <w:fldChar w:fldCharType="separate"/>
        </w:r>
        <w:r>
          <w:rPr>
            <w:noProof/>
            <w:webHidden/>
          </w:rPr>
          <w:t>6</w:t>
        </w:r>
        <w:r>
          <w:rPr>
            <w:noProof/>
            <w:webHidden/>
          </w:rPr>
          <w:fldChar w:fldCharType="end"/>
        </w:r>
      </w:hyperlink>
    </w:p>
    <w:p w14:paraId="16A333EA"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11" w:history="1">
        <w:r w:rsidRPr="00AC01C7">
          <w:rPr>
            <w:rStyle w:val="Lienhypertexte"/>
            <w:noProof/>
          </w:rPr>
          <w:t>3.1</w:t>
        </w:r>
        <w:r w:rsidRPr="00D76007">
          <w:rPr>
            <w:rFonts w:ascii="Calibri" w:eastAsia="Times New Roman" w:hAnsi="Calibri"/>
            <w:b w:val="0"/>
            <w:caps w:val="0"/>
            <w:noProof/>
            <w:lang w:eastAsia="fr-FR"/>
          </w:rPr>
          <w:tab/>
        </w:r>
        <w:r w:rsidRPr="00AC01C7">
          <w:rPr>
            <w:rStyle w:val="Lienhypertexte"/>
            <w:noProof/>
          </w:rPr>
          <w:t>Sur la décision de la CRa et la forclusion.</w:t>
        </w:r>
        <w:r>
          <w:rPr>
            <w:noProof/>
            <w:webHidden/>
          </w:rPr>
          <w:tab/>
        </w:r>
        <w:r>
          <w:rPr>
            <w:noProof/>
            <w:webHidden/>
          </w:rPr>
          <w:fldChar w:fldCharType="begin"/>
        </w:r>
        <w:r>
          <w:rPr>
            <w:noProof/>
            <w:webHidden/>
          </w:rPr>
          <w:instrText xml:space="preserve"> PAGEREF _Toc378424511 \h </w:instrText>
        </w:r>
        <w:r>
          <w:rPr>
            <w:noProof/>
            <w:webHidden/>
          </w:rPr>
        </w:r>
        <w:r>
          <w:rPr>
            <w:noProof/>
            <w:webHidden/>
          </w:rPr>
          <w:fldChar w:fldCharType="separate"/>
        </w:r>
        <w:r>
          <w:rPr>
            <w:noProof/>
            <w:webHidden/>
          </w:rPr>
          <w:t>6</w:t>
        </w:r>
        <w:r>
          <w:rPr>
            <w:noProof/>
            <w:webHidden/>
          </w:rPr>
          <w:fldChar w:fldCharType="end"/>
        </w:r>
      </w:hyperlink>
    </w:p>
    <w:p w14:paraId="0E0B4E2F"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12" w:history="1">
        <w:r w:rsidRPr="00AC01C7">
          <w:rPr>
            <w:rStyle w:val="Lienhypertexte"/>
            <w:noProof/>
          </w:rPr>
          <w:t>3.2</w:t>
        </w:r>
        <w:r w:rsidRPr="00D76007">
          <w:rPr>
            <w:rFonts w:ascii="Calibri" w:eastAsia="Times New Roman" w:hAnsi="Calibri"/>
            <w:b w:val="0"/>
            <w:caps w:val="0"/>
            <w:noProof/>
            <w:lang w:eastAsia="fr-FR"/>
          </w:rPr>
          <w:tab/>
        </w:r>
        <w:r w:rsidRPr="00AC01C7">
          <w:rPr>
            <w:rStyle w:val="Lienhypertexte"/>
            <w:noProof/>
          </w:rPr>
          <w:t>Sur les faits.</w:t>
        </w:r>
        <w:r>
          <w:rPr>
            <w:noProof/>
            <w:webHidden/>
          </w:rPr>
          <w:tab/>
        </w:r>
        <w:r>
          <w:rPr>
            <w:noProof/>
            <w:webHidden/>
          </w:rPr>
          <w:fldChar w:fldCharType="begin"/>
        </w:r>
        <w:r>
          <w:rPr>
            <w:noProof/>
            <w:webHidden/>
          </w:rPr>
          <w:instrText xml:space="preserve"> PAGEREF _Toc378424512 \h </w:instrText>
        </w:r>
        <w:r>
          <w:rPr>
            <w:noProof/>
            <w:webHidden/>
          </w:rPr>
        </w:r>
        <w:r>
          <w:rPr>
            <w:noProof/>
            <w:webHidden/>
          </w:rPr>
          <w:fldChar w:fldCharType="separate"/>
        </w:r>
        <w:r>
          <w:rPr>
            <w:noProof/>
            <w:webHidden/>
          </w:rPr>
          <w:t>7</w:t>
        </w:r>
        <w:r>
          <w:rPr>
            <w:noProof/>
            <w:webHidden/>
          </w:rPr>
          <w:fldChar w:fldCharType="end"/>
        </w:r>
      </w:hyperlink>
    </w:p>
    <w:p w14:paraId="62C32110"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13" w:history="1">
        <w:r w:rsidRPr="00AC01C7">
          <w:rPr>
            <w:rStyle w:val="Lienhypertexte"/>
            <w:noProof/>
          </w:rPr>
          <w:t>3.3</w:t>
        </w:r>
        <w:r w:rsidRPr="00D76007">
          <w:rPr>
            <w:rFonts w:ascii="Calibri" w:eastAsia="Times New Roman" w:hAnsi="Calibri"/>
            <w:b w:val="0"/>
            <w:caps w:val="0"/>
            <w:noProof/>
            <w:lang w:eastAsia="fr-FR"/>
          </w:rPr>
          <w:tab/>
        </w:r>
        <w:r w:rsidRPr="00AC01C7">
          <w:rPr>
            <w:rStyle w:val="Lienhypertexte"/>
            <w:noProof/>
          </w:rPr>
          <w:t>Sur la procédure.</w:t>
        </w:r>
        <w:r>
          <w:rPr>
            <w:noProof/>
            <w:webHidden/>
          </w:rPr>
          <w:tab/>
        </w:r>
        <w:r>
          <w:rPr>
            <w:noProof/>
            <w:webHidden/>
          </w:rPr>
          <w:fldChar w:fldCharType="begin"/>
        </w:r>
        <w:r>
          <w:rPr>
            <w:noProof/>
            <w:webHidden/>
          </w:rPr>
          <w:instrText xml:space="preserve"> PAGEREF _Toc378424513 \h </w:instrText>
        </w:r>
        <w:r>
          <w:rPr>
            <w:noProof/>
            <w:webHidden/>
          </w:rPr>
        </w:r>
        <w:r>
          <w:rPr>
            <w:noProof/>
            <w:webHidden/>
          </w:rPr>
          <w:fldChar w:fldCharType="separate"/>
        </w:r>
        <w:r>
          <w:rPr>
            <w:noProof/>
            <w:webHidden/>
          </w:rPr>
          <w:t>7</w:t>
        </w:r>
        <w:r>
          <w:rPr>
            <w:noProof/>
            <w:webHidden/>
          </w:rPr>
          <w:fldChar w:fldCharType="end"/>
        </w:r>
      </w:hyperlink>
    </w:p>
    <w:p w14:paraId="72D8414B"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14" w:history="1">
        <w:r w:rsidRPr="00AC01C7">
          <w:rPr>
            <w:rStyle w:val="Lienhypertexte"/>
            <w:noProof/>
          </w:rPr>
          <w:t>3.4</w:t>
        </w:r>
        <w:r w:rsidRPr="00D76007">
          <w:rPr>
            <w:rFonts w:ascii="Calibri" w:eastAsia="Times New Roman" w:hAnsi="Calibri"/>
            <w:b w:val="0"/>
            <w:caps w:val="0"/>
            <w:noProof/>
            <w:lang w:eastAsia="fr-FR"/>
          </w:rPr>
          <w:tab/>
        </w:r>
        <w:r w:rsidRPr="00AC01C7">
          <w:rPr>
            <w:rStyle w:val="Lienhypertexte"/>
            <w:noProof/>
          </w:rPr>
          <w:t>Sur la possibilité de révision d’une pension.</w:t>
        </w:r>
        <w:r>
          <w:rPr>
            <w:noProof/>
            <w:webHidden/>
          </w:rPr>
          <w:tab/>
        </w:r>
        <w:r>
          <w:rPr>
            <w:noProof/>
            <w:webHidden/>
          </w:rPr>
          <w:fldChar w:fldCharType="begin"/>
        </w:r>
        <w:r>
          <w:rPr>
            <w:noProof/>
            <w:webHidden/>
          </w:rPr>
          <w:instrText xml:space="preserve"> PAGEREF _Toc378424514 \h </w:instrText>
        </w:r>
        <w:r>
          <w:rPr>
            <w:noProof/>
            <w:webHidden/>
          </w:rPr>
        </w:r>
        <w:r>
          <w:rPr>
            <w:noProof/>
            <w:webHidden/>
          </w:rPr>
          <w:fldChar w:fldCharType="separate"/>
        </w:r>
        <w:r>
          <w:rPr>
            <w:noProof/>
            <w:webHidden/>
          </w:rPr>
          <w:t>8</w:t>
        </w:r>
        <w:r>
          <w:rPr>
            <w:noProof/>
            <w:webHidden/>
          </w:rPr>
          <w:fldChar w:fldCharType="end"/>
        </w:r>
      </w:hyperlink>
    </w:p>
    <w:p w14:paraId="6D4DDC52"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15" w:history="1">
        <w:r w:rsidRPr="00AC01C7">
          <w:rPr>
            <w:rStyle w:val="Lienhypertexte"/>
            <w:noProof/>
          </w:rPr>
          <w:t>3.5</w:t>
        </w:r>
        <w:r w:rsidRPr="00D76007">
          <w:rPr>
            <w:rFonts w:ascii="Calibri" w:eastAsia="Times New Roman" w:hAnsi="Calibri"/>
            <w:b w:val="0"/>
            <w:caps w:val="0"/>
            <w:noProof/>
            <w:lang w:eastAsia="fr-FR"/>
          </w:rPr>
          <w:tab/>
        </w:r>
        <w:r w:rsidRPr="00AC01C7">
          <w:rPr>
            <w:rStyle w:val="Lienhypertexte"/>
            <w:noProof/>
          </w:rPr>
          <w:t>Sur les conditions de notification.</w:t>
        </w:r>
        <w:r>
          <w:rPr>
            <w:noProof/>
            <w:webHidden/>
          </w:rPr>
          <w:tab/>
        </w:r>
        <w:r>
          <w:rPr>
            <w:noProof/>
            <w:webHidden/>
          </w:rPr>
          <w:fldChar w:fldCharType="begin"/>
        </w:r>
        <w:r>
          <w:rPr>
            <w:noProof/>
            <w:webHidden/>
          </w:rPr>
          <w:instrText xml:space="preserve"> PAGEREF _Toc378424515 \h </w:instrText>
        </w:r>
        <w:r>
          <w:rPr>
            <w:noProof/>
            <w:webHidden/>
          </w:rPr>
        </w:r>
        <w:r>
          <w:rPr>
            <w:noProof/>
            <w:webHidden/>
          </w:rPr>
          <w:fldChar w:fldCharType="separate"/>
        </w:r>
        <w:r>
          <w:rPr>
            <w:noProof/>
            <w:webHidden/>
          </w:rPr>
          <w:t>8</w:t>
        </w:r>
        <w:r>
          <w:rPr>
            <w:noProof/>
            <w:webHidden/>
          </w:rPr>
          <w:fldChar w:fldCharType="end"/>
        </w:r>
      </w:hyperlink>
    </w:p>
    <w:p w14:paraId="5F0A1C37" w14:textId="77777777" w:rsidR="00EC2758" w:rsidRPr="00D76007" w:rsidRDefault="00EC2758">
      <w:pPr>
        <w:pStyle w:val="TM2"/>
        <w:tabs>
          <w:tab w:val="left" w:pos="880"/>
          <w:tab w:val="right" w:leader="dot" w:pos="9062"/>
        </w:tabs>
        <w:rPr>
          <w:rFonts w:ascii="Calibri" w:eastAsia="Times New Roman" w:hAnsi="Calibri"/>
          <w:b w:val="0"/>
          <w:caps w:val="0"/>
          <w:noProof/>
          <w:lang w:eastAsia="fr-FR"/>
        </w:rPr>
      </w:pPr>
      <w:hyperlink w:anchor="_Toc378424516" w:history="1">
        <w:r w:rsidRPr="00AC01C7">
          <w:rPr>
            <w:rStyle w:val="Lienhypertexte"/>
            <w:noProof/>
          </w:rPr>
          <w:t>3.6</w:t>
        </w:r>
        <w:r w:rsidRPr="00D76007">
          <w:rPr>
            <w:rFonts w:ascii="Calibri" w:eastAsia="Times New Roman" w:hAnsi="Calibri"/>
            <w:b w:val="0"/>
            <w:caps w:val="0"/>
            <w:noProof/>
            <w:lang w:eastAsia="fr-FR"/>
          </w:rPr>
          <w:tab/>
        </w:r>
        <w:r w:rsidRPr="00AC01C7">
          <w:rPr>
            <w:rStyle w:val="Lienhypertexte"/>
            <w:noProof/>
          </w:rPr>
          <w:t>Autres éléments.</w:t>
        </w:r>
        <w:r>
          <w:rPr>
            <w:noProof/>
            <w:webHidden/>
          </w:rPr>
          <w:tab/>
        </w:r>
        <w:r>
          <w:rPr>
            <w:noProof/>
            <w:webHidden/>
          </w:rPr>
          <w:fldChar w:fldCharType="begin"/>
        </w:r>
        <w:r>
          <w:rPr>
            <w:noProof/>
            <w:webHidden/>
          </w:rPr>
          <w:instrText xml:space="preserve"> PAGEREF _Toc378424516 \h </w:instrText>
        </w:r>
        <w:r>
          <w:rPr>
            <w:noProof/>
            <w:webHidden/>
          </w:rPr>
        </w:r>
        <w:r>
          <w:rPr>
            <w:noProof/>
            <w:webHidden/>
          </w:rPr>
          <w:fldChar w:fldCharType="separate"/>
        </w:r>
        <w:r>
          <w:rPr>
            <w:noProof/>
            <w:webHidden/>
          </w:rPr>
          <w:t>10</w:t>
        </w:r>
        <w:r>
          <w:rPr>
            <w:noProof/>
            <w:webHidden/>
          </w:rPr>
          <w:fldChar w:fldCharType="end"/>
        </w:r>
      </w:hyperlink>
    </w:p>
    <w:p w14:paraId="21E94F83"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17" w:history="1">
        <w:r w:rsidRPr="00AC01C7">
          <w:rPr>
            <w:rStyle w:val="Lienhypertexte"/>
            <w:noProof/>
          </w:rPr>
          <w:t>3.6.1</w:t>
        </w:r>
        <w:r w:rsidRPr="00D76007">
          <w:rPr>
            <w:rFonts w:ascii="Calibri" w:eastAsia="Times New Roman" w:hAnsi="Calibri"/>
            <w:smallCaps w:val="0"/>
            <w:noProof/>
            <w:sz w:val="22"/>
            <w:lang w:eastAsia="fr-FR"/>
          </w:rPr>
          <w:tab/>
        </w:r>
        <w:r w:rsidRPr="00AC01C7">
          <w:rPr>
            <w:rStyle w:val="Lienhypertexte"/>
            <w:noProof/>
          </w:rPr>
          <w:t>Sur le fond</w:t>
        </w:r>
        <w:r>
          <w:rPr>
            <w:noProof/>
            <w:webHidden/>
          </w:rPr>
          <w:tab/>
        </w:r>
        <w:r>
          <w:rPr>
            <w:noProof/>
            <w:webHidden/>
          </w:rPr>
          <w:fldChar w:fldCharType="begin"/>
        </w:r>
        <w:r>
          <w:rPr>
            <w:noProof/>
            <w:webHidden/>
          </w:rPr>
          <w:instrText xml:space="preserve"> PAGEREF _Toc378424517 \h </w:instrText>
        </w:r>
        <w:r>
          <w:rPr>
            <w:noProof/>
            <w:webHidden/>
          </w:rPr>
        </w:r>
        <w:r>
          <w:rPr>
            <w:noProof/>
            <w:webHidden/>
          </w:rPr>
          <w:fldChar w:fldCharType="separate"/>
        </w:r>
        <w:r>
          <w:rPr>
            <w:noProof/>
            <w:webHidden/>
          </w:rPr>
          <w:t>10</w:t>
        </w:r>
        <w:r>
          <w:rPr>
            <w:noProof/>
            <w:webHidden/>
          </w:rPr>
          <w:fldChar w:fldCharType="end"/>
        </w:r>
      </w:hyperlink>
    </w:p>
    <w:p w14:paraId="0E9C0CCA"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18" w:history="1">
        <w:r w:rsidRPr="00AC01C7">
          <w:rPr>
            <w:rStyle w:val="Lienhypertexte"/>
            <w:noProof/>
          </w:rPr>
          <w:t>3.6.2</w:t>
        </w:r>
        <w:r w:rsidRPr="00D76007">
          <w:rPr>
            <w:rFonts w:ascii="Calibri" w:eastAsia="Times New Roman" w:hAnsi="Calibri"/>
            <w:smallCaps w:val="0"/>
            <w:noProof/>
            <w:sz w:val="22"/>
            <w:lang w:eastAsia="fr-FR"/>
          </w:rPr>
          <w:tab/>
        </w:r>
        <w:r w:rsidRPr="00AC01C7">
          <w:rPr>
            <w:rStyle w:val="Lienhypertexte"/>
            <w:noProof/>
          </w:rPr>
          <w:t>Sur la possibilité de rachat ouverte par l’article L 382-29-1.</w:t>
        </w:r>
        <w:r>
          <w:rPr>
            <w:noProof/>
            <w:webHidden/>
          </w:rPr>
          <w:tab/>
        </w:r>
        <w:r>
          <w:rPr>
            <w:noProof/>
            <w:webHidden/>
          </w:rPr>
          <w:fldChar w:fldCharType="begin"/>
        </w:r>
        <w:r>
          <w:rPr>
            <w:noProof/>
            <w:webHidden/>
          </w:rPr>
          <w:instrText xml:space="preserve"> PAGEREF _Toc378424518 \h </w:instrText>
        </w:r>
        <w:r>
          <w:rPr>
            <w:noProof/>
            <w:webHidden/>
          </w:rPr>
        </w:r>
        <w:r>
          <w:rPr>
            <w:noProof/>
            <w:webHidden/>
          </w:rPr>
          <w:fldChar w:fldCharType="separate"/>
        </w:r>
        <w:r>
          <w:rPr>
            <w:noProof/>
            <w:webHidden/>
          </w:rPr>
          <w:t>11</w:t>
        </w:r>
        <w:r>
          <w:rPr>
            <w:noProof/>
            <w:webHidden/>
          </w:rPr>
          <w:fldChar w:fldCharType="end"/>
        </w:r>
      </w:hyperlink>
    </w:p>
    <w:p w14:paraId="13A35DB4" w14:textId="77777777" w:rsidR="00EC2758" w:rsidRPr="00D76007" w:rsidRDefault="00EC2758">
      <w:pPr>
        <w:pStyle w:val="TM3"/>
        <w:tabs>
          <w:tab w:val="left" w:pos="1320"/>
          <w:tab w:val="right" w:leader="dot" w:pos="9062"/>
        </w:tabs>
        <w:rPr>
          <w:rFonts w:ascii="Calibri" w:eastAsia="Times New Roman" w:hAnsi="Calibri"/>
          <w:smallCaps w:val="0"/>
          <w:noProof/>
          <w:sz w:val="22"/>
          <w:lang w:eastAsia="fr-FR"/>
        </w:rPr>
      </w:pPr>
      <w:hyperlink w:anchor="_Toc378424519" w:history="1">
        <w:r w:rsidRPr="00AC01C7">
          <w:rPr>
            <w:rStyle w:val="Lienhypertexte"/>
            <w:noProof/>
          </w:rPr>
          <w:t>3.6.3</w:t>
        </w:r>
        <w:r w:rsidRPr="00D76007">
          <w:rPr>
            <w:rFonts w:ascii="Calibri" w:eastAsia="Times New Roman" w:hAnsi="Calibri"/>
            <w:smallCaps w:val="0"/>
            <w:noProof/>
            <w:sz w:val="22"/>
            <w:lang w:eastAsia="fr-FR"/>
          </w:rPr>
          <w:tab/>
        </w:r>
        <w:r w:rsidRPr="00AC01C7">
          <w:rPr>
            <w:rStyle w:val="Lienhypertexte"/>
            <w:noProof/>
          </w:rPr>
          <w:t>Sur la prescription quinquennale</w:t>
        </w:r>
        <w:r>
          <w:rPr>
            <w:noProof/>
            <w:webHidden/>
          </w:rPr>
          <w:tab/>
        </w:r>
        <w:r>
          <w:rPr>
            <w:noProof/>
            <w:webHidden/>
          </w:rPr>
          <w:fldChar w:fldCharType="begin"/>
        </w:r>
        <w:r>
          <w:rPr>
            <w:noProof/>
            <w:webHidden/>
          </w:rPr>
          <w:instrText xml:space="preserve"> PAGEREF _Toc378424519 \h </w:instrText>
        </w:r>
        <w:r>
          <w:rPr>
            <w:noProof/>
            <w:webHidden/>
          </w:rPr>
        </w:r>
        <w:r>
          <w:rPr>
            <w:noProof/>
            <w:webHidden/>
          </w:rPr>
          <w:fldChar w:fldCharType="separate"/>
        </w:r>
        <w:r>
          <w:rPr>
            <w:noProof/>
            <w:webHidden/>
          </w:rPr>
          <w:t>11</w:t>
        </w:r>
        <w:r>
          <w:rPr>
            <w:noProof/>
            <w:webHidden/>
          </w:rPr>
          <w:fldChar w:fldCharType="end"/>
        </w:r>
      </w:hyperlink>
    </w:p>
    <w:p w14:paraId="7D4E7E54" w14:textId="77777777" w:rsidR="00182F45" w:rsidRDefault="00182F45" w:rsidP="00182F45">
      <w:pPr>
        <w:pStyle w:val="Titre1"/>
        <w:numPr>
          <w:ilvl w:val="0"/>
          <w:numId w:val="0"/>
        </w:numPr>
        <w:ind w:left="431"/>
        <w:rPr>
          <w:rFonts w:eastAsia="Calibri"/>
          <w:kern w:val="0"/>
          <w:sz w:val="24"/>
          <w:szCs w:val="24"/>
        </w:rPr>
      </w:pPr>
      <w:r>
        <w:rPr>
          <w:rFonts w:eastAsia="Calibri"/>
          <w:kern w:val="0"/>
          <w:sz w:val="24"/>
          <w:szCs w:val="24"/>
        </w:rPr>
        <w:fldChar w:fldCharType="end"/>
      </w:r>
    </w:p>
    <w:p w14:paraId="475168B5" w14:textId="77777777" w:rsidR="0072080C" w:rsidRDefault="00182F45" w:rsidP="00182F45">
      <w:pPr>
        <w:pStyle w:val="Titre1"/>
      </w:pPr>
      <w:r>
        <w:rPr>
          <w:rFonts w:eastAsia="Calibri"/>
          <w:kern w:val="0"/>
          <w:sz w:val="24"/>
          <w:szCs w:val="24"/>
        </w:rPr>
        <w:br w:type="page"/>
      </w:r>
      <w:bookmarkStart w:id="0" w:name="_Toc378424500"/>
      <w:r w:rsidR="0072080C">
        <w:lastRenderedPageBreak/>
        <w:t>Analyse du mémoire Cavimac</w:t>
      </w:r>
      <w:bookmarkEnd w:id="0"/>
    </w:p>
    <w:p w14:paraId="192ABBE7" w14:textId="77777777" w:rsidR="00182F45" w:rsidRPr="00182F45" w:rsidRDefault="00182F45" w:rsidP="00FA3275">
      <w:pPr>
        <w:spacing w:before="0"/>
        <w:jc w:val="right"/>
        <w:rPr>
          <w:i/>
        </w:rPr>
      </w:pPr>
      <w:r>
        <w:rPr>
          <w:bCs/>
          <w:i/>
          <w:caps/>
          <w:szCs w:val="24"/>
        </w:rPr>
        <w:t>J</w:t>
      </w:r>
      <w:r>
        <w:rPr>
          <w:bCs/>
          <w:i/>
          <w:szCs w:val="24"/>
        </w:rPr>
        <w:t xml:space="preserve">oseph </w:t>
      </w:r>
      <w:r>
        <w:rPr>
          <w:bCs/>
          <w:i/>
          <w:caps/>
          <w:szCs w:val="24"/>
        </w:rPr>
        <w:t>auvinet</w:t>
      </w:r>
    </w:p>
    <w:p w14:paraId="17773FB9" w14:textId="77777777" w:rsidR="0041065A" w:rsidRPr="00091845" w:rsidRDefault="00091845" w:rsidP="00182F45">
      <w:pPr>
        <w:pStyle w:val="Titre2"/>
      </w:pPr>
      <w:bookmarkStart w:id="1" w:name="_Toc378424501"/>
      <w:r w:rsidRPr="00091845">
        <w:t>ANALYSE DU MEMOIRE CAVIMAC</w:t>
      </w:r>
      <w:r w:rsidR="00614C79">
        <w:t xml:space="preserve"> contre M. MARGUET</w:t>
      </w:r>
      <w:r w:rsidRPr="00091845">
        <w:t>.</w:t>
      </w:r>
      <w:bookmarkEnd w:id="1"/>
    </w:p>
    <w:p w14:paraId="54D45587" w14:textId="77777777" w:rsidR="0041065A" w:rsidRPr="00B91889" w:rsidRDefault="0041065A" w:rsidP="00182F45">
      <w:pPr>
        <w:pStyle w:val="Titre3"/>
      </w:pPr>
      <w:bookmarkStart w:id="2" w:name="_Toc378424502"/>
      <w:r w:rsidRPr="00B91889">
        <w:t>Moyen unique en trois branches :</w:t>
      </w:r>
      <w:bookmarkEnd w:id="2"/>
    </w:p>
    <w:p w14:paraId="70E1F428" w14:textId="77777777" w:rsidR="0041065A" w:rsidRDefault="0041065A" w:rsidP="0041065A">
      <w:pPr>
        <w:numPr>
          <w:ilvl w:val="0"/>
          <w:numId w:val="3"/>
        </w:numPr>
        <w:spacing w:before="180"/>
        <w:jc w:val="both"/>
      </w:pPr>
      <w:r w:rsidRPr="00182F45">
        <w:rPr>
          <w:b/>
        </w:rPr>
        <w:t>Méconnaissance des termes du litige</w:t>
      </w:r>
      <w:r>
        <w:t xml:space="preserve">. Le juge doit respecter les termes du litige : Monsieur Marguet </w:t>
      </w:r>
      <w:r w:rsidR="00182F45">
        <w:t>n’aurait</w:t>
      </w:r>
      <w:r>
        <w:t xml:space="preserve"> pas contesté que la notification de pension de retraite mentionnait les voies et délais de recours. Violation article 4 et 5 du code civil.</w:t>
      </w:r>
    </w:p>
    <w:p w14:paraId="276093C0" w14:textId="77777777" w:rsidR="0041065A" w:rsidRDefault="00182F45" w:rsidP="0041065A">
      <w:pPr>
        <w:numPr>
          <w:ilvl w:val="0"/>
          <w:numId w:val="3"/>
        </w:numPr>
        <w:spacing w:before="180"/>
        <w:jc w:val="both"/>
      </w:pPr>
      <w:r w:rsidRPr="00182F45">
        <w:rPr>
          <w:b/>
        </w:rPr>
        <w:t>Forclusion.</w:t>
      </w:r>
      <w:r>
        <w:t xml:space="preserve"> </w:t>
      </w:r>
      <w:r w:rsidR="0041065A">
        <w:t>Le délai de forclusion (R142-1 CSS) court à compter de la notification de pension. Une retraite liquidée est définitive si elle n’est pas contestée dans les deux mois. La réponse de la Cavimac ne nécessitait pas de rappeler les délais et voies de recours. Violation R 142-1 CSS.</w:t>
      </w:r>
    </w:p>
    <w:p w14:paraId="3F10F1E9" w14:textId="77777777" w:rsidR="0041065A" w:rsidRDefault="0041065A" w:rsidP="0041065A">
      <w:pPr>
        <w:numPr>
          <w:ilvl w:val="0"/>
          <w:numId w:val="3"/>
        </w:numPr>
        <w:spacing w:before="180"/>
        <w:jc w:val="both"/>
      </w:pPr>
      <w:r w:rsidRPr="00182F45">
        <w:rPr>
          <w:b/>
        </w:rPr>
        <w:t>Prescription quinquennale</w:t>
      </w:r>
      <w:r>
        <w:t> : Article 2224 code civil. Violation article 2224 CC et R 351-1 CSS</w:t>
      </w:r>
      <w:r w:rsidR="00182F45">
        <w:t>.</w:t>
      </w:r>
    </w:p>
    <w:p w14:paraId="081D443A" w14:textId="77777777" w:rsidR="0041065A" w:rsidRPr="00B91889" w:rsidRDefault="00D04E02" w:rsidP="00182F45">
      <w:pPr>
        <w:pStyle w:val="Titre3"/>
      </w:pPr>
      <w:bookmarkStart w:id="3" w:name="_Toc378424503"/>
      <w:r w:rsidRPr="00B91889">
        <w:t>À l’appui de chacune des branches :</w:t>
      </w:r>
      <w:bookmarkEnd w:id="3"/>
    </w:p>
    <w:p w14:paraId="65CF0A9B" w14:textId="77777777" w:rsidR="00AA3E3D" w:rsidRDefault="00D04E02" w:rsidP="00AA3E3D">
      <w:pPr>
        <w:numPr>
          <w:ilvl w:val="0"/>
          <w:numId w:val="4"/>
        </w:numPr>
        <w:spacing w:before="180"/>
        <w:jc w:val="both"/>
      </w:pPr>
      <w:r w:rsidRPr="00AA3E3D">
        <w:rPr>
          <w:b/>
        </w:rPr>
        <w:t>Point 2</w:t>
      </w:r>
      <w:r>
        <w:t xml:space="preserve">.  R 142-1. </w:t>
      </w:r>
      <w:r w:rsidRPr="00182F45">
        <w:rPr>
          <w:b/>
        </w:rPr>
        <w:t>Une retraite liquidée est définitive.</w:t>
      </w:r>
    </w:p>
    <w:p w14:paraId="52D6DC96" w14:textId="77777777" w:rsidR="00AA3E3D" w:rsidRDefault="00FA3275" w:rsidP="00AA3E3D">
      <w:pPr>
        <w:spacing w:before="180"/>
        <w:ind w:left="720"/>
        <w:jc w:val="both"/>
      </w:pPr>
      <w:r>
        <w:t xml:space="preserve">La Cavimac cite : </w:t>
      </w:r>
      <w:r w:rsidR="00D04E02">
        <w:t xml:space="preserve">Cassation 09-14325 (déjà cité </w:t>
      </w:r>
      <w:r w:rsidR="005963D7">
        <w:t>dans le mémoire contre G</w:t>
      </w:r>
      <w:r>
        <w:t> </w:t>
      </w:r>
      <w:r w:rsidR="005963D7">
        <w:t>Barthoulot</w:t>
      </w:r>
      <w:r w:rsidR="00D04E02">
        <w:t>) : arrêt cassé car la retraite liquidée est définitive.</w:t>
      </w:r>
    </w:p>
    <w:p w14:paraId="17D93F23" w14:textId="77777777" w:rsidR="00D04E02" w:rsidRDefault="00D04E02" w:rsidP="002771EC">
      <w:pPr>
        <w:numPr>
          <w:ilvl w:val="0"/>
          <w:numId w:val="4"/>
        </w:numPr>
        <w:spacing w:before="180"/>
        <w:jc w:val="both"/>
      </w:pPr>
      <w:r w:rsidRPr="00AA3E3D">
        <w:rPr>
          <w:b/>
        </w:rPr>
        <w:t>Point 1.</w:t>
      </w:r>
      <w:r>
        <w:t xml:space="preserve"> Le juge ne peut tenir pour </w:t>
      </w:r>
      <w:proofErr w:type="spellStart"/>
      <w:r>
        <w:t>contesté</w:t>
      </w:r>
      <w:proofErr w:type="spellEnd"/>
      <w:r>
        <w:t xml:space="preserve"> un fait qui ne l’est pas.</w:t>
      </w:r>
    </w:p>
    <w:p w14:paraId="0457D0A0" w14:textId="77777777" w:rsidR="00D04E02" w:rsidRDefault="00FA3275" w:rsidP="002771EC">
      <w:pPr>
        <w:spacing w:before="180"/>
        <w:ind w:left="720"/>
        <w:jc w:val="both"/>
      </w:pPr>
      <w:r>
        <w:t>La Cavimac cite</w:t>
      </w:r>
      <w:r w:rsidR="00D04E02">
        <w:t xml:space="preserve"> cassation 11-15344 </w:t>
      </w:r>
      <w:r w:rsidR="005963D7">
        <w:t xml:space="preserve">(déjà cité dans mémoire contre G Barthoulot) </w:t>
      </w:r>
      <w:r w:rsidR="00D04E02">
        <w:t>: cassation partielle de l’arrêt : l’employé ne devait pas avoir de primes d’objectifs car il avait reconnu ne pas avoir signé de convention d’objectifs pour 2008.</w:t>
      </w:r>
    </w:p>
    <w:p w14:paraId="37EB325D" w14:textId="77777777" w:rsidR="002771EC" w:rsidRDefault="00FA3275" w:rsidP="00AA3E3D">
      <w:pPr>
        <w:spacing w:before="180"/>
        <w:ind w:left="720"/>
        <w:jc w:val="both"/>
      </w:pPr>
      <w:r>
        <w:t>La Cavimac cite</w:t>
      </w:r>
      <w:r w:rsidR="00D04E02">
        <w:t xml:space="preserve"> cassation 11-12817</w:t>
      </w:r>
      <w:r w:rsidR="005963D7">
        <w:t xml:space="preserve"> (</w:t>
      </w:r>
      <w:r w:rsidR="005963D7" w:rsidRPr="005963D7">
        <w:t>déjà cité dans mémoire contre G Barthoulot</w:t>
      </w:r>
      <w:r w:rsidR="005963D7">
        <w:t>)</w:t>
      </w:r>
      <w:r w:rsidR="00D04E02">
        <w:t>.</w:t>
      </w:r>
      <w:r w:rsidR="002771EC">
        <w:t xml:space="preserve"> Arrêt cassé parce que la cour d’</w:t>
      </w:r>
      <w:r w:rsidR="00815A8A">
        <w:t>appel a jugé sur la bas</w:t>
      </w:r>
      <w:r w:rsidR="002771EC">
        <w:t>e d’une maladie d’origine non professionnelle alors que les parties</w:t>
      </w:r>
      <w:r w:rsidR="002771EC" w:rsidRPr="002771EC">
        <w:t xml:space="preserve"> invoquaient ensemble l’application des dispositions légales relatives à l’inaptitude d’origine professionnelle</w:t>
      </w:r>
      <w:r w:rsidR="002771EC">
        <w:t xml:space="preserve">. </w:t>
      </w:r>
    </w:p>
    <w:p w14:paraId="54F7E204" w14:textId="77777777" w:rsidR="002771EC" w:rsidRDefault="00FA3275" w:rsidP="00AA3E3D">
      <w:pPr>
        <w:spacing w:before="180"/>
        <w:ind w:left="720"/>
        <w:jc w:val="both"/>
      </w:pPr>
      <w:r>
        <w:t>La Cavimac cite</w:t>
      </w:r>
      <w:r w:rsidR="002771EC">
        <w:t xml:space="preserve"> cassation 12-15690. Arrêt cassé : il </w:t>
      </w:r>
      <w:r w:rsidR="002771EC" w:rsidRPr="002771EC">
        <w:t>énonce que la notification de l’indu faite à l’intéressé est insuffisante pour justifier les sommes dues par celui-ci, faute de décompte permettant au tribunal de juger du bien-fondé des sommes réclamées</w:t>
      </w:r>
      <w:r w:rsidR="002771EC">
        <w:t xml:space="preserve">, </w:t>
      </w:r>
      <w:proofErr w:type="gramStart"/>
      <w:r w:rsidR="002771EC">
        <w:t xml:space="preserve">mais </w:t>
      </w:r>
      <w:r w:rsidR="002771EC" w:rsidRPr="002771EC">
        <w:t xml:space="preserve"> la</w:t>
      </w:r>
      <w:proofErr w:type="gramEnd"/>
      <w:r w:rsidR="002771EC" w:rsidRPr="002771EC">
        <w:t xml:space="preserve"> somme réclamée n’était pas contestée dans son montant</w:t>
      </w:r>
      <w:r w:rsidR="002771EC">
        <w:t>.</w:t>
      </w:r>
    </w:p>
    <w:p w14:paraId="44A69130" w14:textId="77777777" w:rsidR="002B1973" w:rsidRPr="002B1973" w:rsidRDefault="002B1973" w:rsidP="00AA3E3D">
      <w:pPr>
        <w:spacing w:before="180"/>
        <w:ind w:left="720"/>
        <w:jc w:val="both"/>
      </w:pPr>
      <w:r>
        <w:t xml:space="preserve">La Cavimac dit que M Marguet </w:t>
      </w:r>
      <w:r w:rsidR="00FA3275">
        <w:t>n’aurait</w:t>
      </w:r>
      <w:r>
        <w:t xml:space="preserve"> pas contesté que la notification mentionnait les voies et délais de recours</w:t>
      </w:r>
      <w:r w:rsidR="00AA3E3D">
        <w:t xml:space="preserve">. </w:t>
      </w:r>
      <w:r w:rsidR="00FA3275">
        <w:t>La Cavimac prétend</w:t>
      </w:r>
      <w:r w:rsidR="00AA3E3D">
        <w:t xml:space="preserve"> </w:t>
      </w:r>
      <w:r w:rsidR="00AA3E3D">
        <w:rPr>
          <w:i/>
        </w:rPr>
        <w:t xml:space="preserve">« qu’il était donc acquis pour les parties que la notification de la décision de liquidation de pension que M Marguet a </w:t>
      </w:r>
      <w:proofErr w:type="gramStart"/>
      <w:r w:rsidR="00AA3E3D">
        <w:rPr>
          <w:i/>
        </w:rPr>
        <w:t>reçu</w:t>
      </w:r>
      <w:proofErr w:type="gramEnd"/>
      <w:r w:rsidR="00AA3E3D">
        <w:rPr>
          <w:i/>
        </w:rPr>
        <w:t xml:space="preserve"> le 17 mars 1997 mentionnait le délai de recours de deux mois… ».</w:t>
      </w:r>
      <w:r w:rsidR="00AA3E3D">
        <w:t xml:space="preserve"> </w:t>
      </w:r>
      <w:r w:rsidR="00AA3E3D" w:rsidRPr="00AA3E3D">
        <w:t>La Cavimac</w:t>
      </w:r>
      <w:r>
        <w:t xml:space="preserve"> </w:t>
      </w:r>
      <w:r w:rsidR="00AA3E3D">
        <w:t>c</w:t>
      </w:r>
      <w:r>
        <w:t xml:space="preserve">ite l’arrêt p. 4 al. 5. Or l’arrêt p. 4 al. 5 dit le contraire : </w:t>
      </w:r>
      <w:r w:rsidRPr="00AA3E3D">
        <w:rPr>
          <w:i/>
        </w:rPr>
        <w:t>« de plus le courrier mentionnant les relevés trimestriels ne mentionne pas les délais de recours ».</w:t>
      </w:r>
    </w:p>
    <w:p w14:paraId="451CC131" w14:textId="77777777" w:rsidR="00D04E02" w:rsidRPr="00AA3E3D" w:rsidRDefault="002B1973" w:rsidP="00AA3E3D">
      <w:pPr>
        <w:spacing w:before="180"/>
        <w:ind w:left="720"/>
        <w:jc w:val="both"/>
      </w:pPr>
      <w:r>
        <w:t xml:space="preserve">La Cavimac </w:t>
      </w:r>
      <w:r w:rsidR="00FA3275">
        <w:t>prétend</w:t>
      </w:r>
      <w:r>
        <w:t xml:space="preserve"> que l’arrêt relève que la notification de pension indiquait les voies de recours p. 5 al. 4. Or l’arrêt p. 5 al. 4 dit que c’est le représentant de la Cavimac </w:t>
      </w:r>
      <w:proofErr w:type="gramStart"/>
      <w:r>
        <w:t xml:space="preserve">qui </w:t>
      </w:r>
      <w:r>
        <w:rPr>
          <w:i/>
        </w:rPr>
        <w:t> «</w:t>
      </w:r>
      <w:proofErr w:type="gramEnd"/>
      <w:r>
        <w:rPr>
          <w:i/>
        </w:rPr>
        <w:t xml:space="preserve"> s’est prévalu… de ce que la notification de la pension indiquait les voies de recours limitées à deux mois… ». </w:t>
      </w:r>
      <w:r>
        <w:t xml:space="preserve">Et dans la même page 5 alinéa 6 l’arrêt dit : </w:t>
      </w:r>
      <w:r>
        <w:rPr>
          <w:i/>
        </w:rPr>
        <w:t>« </w:t>
      </w:r>
      <w:r w:rsidR="00AA3E3D">
        <w:rPr>
          <w:i/>
        </w:rPr>
        <w:t xml:space="preserve">Elle [la </w:t>
      </w:r>
      <w:proofErr w:type="gramStart"/>
      <w:r w:rsidR="00AA3E3D">
        <w:rPr>
          <w:i/>
        </w:rPr>
        <w:t>Cavimac  n’apporte</w:t>
      </w:r>
      <w:proofErr w:type="gramEnd"/>
      <w:r w:rsidR="00AA3E3D">
        <w:rPr>
          <w:i/>
        </w:rPr>
        <w:t xml:space="preserve"> pas la preuve de ce que cette notification qu’elle date du 17 mars 1997 indiquait à M Marguet les délais de recours ».</w:t>
      </w:r>
    </w:p>
    <w:p w14:paraId="7B2C5E12" w14:textId="77777777" w:rsidR="00AA3E3D" w:rsidRDefault="00AA3E3D" w:rsidP="0041065A">
      <w:pPr>
        <w:numPr>
          <w:ilvl w:val="0"/>
          <w:numId w:val="4"/>
        </w:numPr>
        <w:spacing w:before="180"/>
        <w:jc w:val="both"/>
      </w:pPr>
      <w:r>
        <w:rPr>
          <w:b/>
        </w:rPr>
        <w:lastRenderedPageBreak/>
        <w:t xml:space="preserve">Point 3. </w:t>
      </w:r>
      <w:r>
        <w:t>L’action en</w:t>
      </w:r>
      <w:r w:rsidR="00FA3275">
        <w:t xml:space="preserve"> contestation de la date de </w:t>
      </w:r>
      <w:r>
        <w:t>liquidation d’une pension de retraite doit être soumise à une date butoir.</w:t>
      </w:r>
    </w:p>
    <w:p w14:paraId="7021E09B" w14:textId="77777777" w:rsidR="00B91889" w:rsidRPr="00B91889" w:rsidRDefault="00B91889" w:rsidP="00B91889">
      <w:pPr>
        <w:spacing w:before="180"/>
        <w:ind w:left="720"/>
        <w:jc w:val="both"/>
      </w:pPr>
      <w:r w:rsidRPr="00B91889">
        <w:t xml:space="preserve">Il est remarquable que la Cavimac ne dit pas que l’article 2224 CC </w:t>
      </w:r>
      <w:r>
        <w:t xml:space="preserve">doit s’appliquer en raison d’une disposition législative. Mais elle dit qu’il appartient au juge de fixer ce délai : </w:t>
      </w:r>
      <w:r>
        <w:rPr>
          <w:i/>
        </w:rPr>
        <w:t>« De façon analogue, il appartient au juge de la sécurité sociale de décider que le délai de forclusion de deux mois… est enfermé dans les limites de la prescription quinquennale des actions personnelles ou mobilière instituée par l’article 2224 du code civil.</w:t>
      </w:r>
    </w:p>
    <w:p w14:paraId="5EB2951D" w14:textId="77777777" w:rsidR="00B91889" w:rsidRDefault="00B91889" w:rsidP="00B91889">
      <w:pPr>
        <w:spacing w:before="180"/>
        <w:ind w:left="720"/>
        <w:jc w:val="both"/>
      </w:pPr>
      <w:r>
        <w:t>Donc en fait, la Cavimac ne dit pas expressément que l’action en contestation est soumise à la prescription de 5</w:t>
      </w:r>
      <w:r w:rsidR="00FA3275">
        <w:t xml:space="preserve"> </w:t>
      </w:r>
      <w:r>
        <w:t>ans, mais que le juge aurait d</w:t>
      </w:r>
      <w:r w:rsidR="007A7A02">
        <w:t>û</w:t>
      </w:r>
      <w:r>
        <w:t xml:space="preserve"> indiquer un délai de prescription de 5 ans pour une raison de bonne gestion de la caisse !</w:t>
      </w:r>
    </w:p>
    <w:p w14:paraId="040F6EA7" w14:textId="77777777" w:rsidR="00614C79" w:rsidRDefault="00614C79" w:rsidP="00182F45">
      <w:pPr>
        <w:pStyle w:val="Titre2"/>
      </w:pPr>
      <w:bookmarkStart w:id="4" w:name="_Toc378424504"/>
      <w:r>
        <w:t xml:space="preserve">Comparaison avec </w:t>
      </w:r>
      <w:r w:rsidR="00FA3275">
        <w:t>les précédents</w:t>
      </w:r>
      <w:r>
        <w:t xml:space="preserve"> mémoires Cavimac.</w:t>
      </w:r>
      <w:bookmarkEnd w:id="4"/>
    </w:p>
    <w:p w14:paraId="5F14AC78" w14:textId="77777777" w:rsidR="00614C79" w:rsidRDefault="00614C79" w:rsidP="00182F45">
      <w:pPr>
        <w:pStyle w:val="Titre3"/>
      </w:pPr>
      <w:bookmarkStart w:id="5" w:name="_Toc378424505"/>
      <w:r>
        <w:t>Comparaison ave</w:t>
      </w:r>
      <w:r w:rsidR="00FA3275">
        <w:t>c</w:t>
      </w:r>
      <w:r>
        <w:t xml:space="preserve"> mémoire contre G BARTHOULOT.</w:t>
      </w:r>
      <w:bookmarkEnd w:id="5"/>
    </w:p>
    <w:p w14:paraId="37297373" w14:textId="77777777" w:rsidR="00614C79" w:rsidRDefault="00614C79" w:rsidP="00614C79">
      <w:pPr>
        <w:jc w:val="both"/>
      </w:pPr>
      <w:r>
        <w:t>Contre G BARTHOULOT, la Cavimac met en avant</w:t>
      </w:r>
      <w:r w:rsidR="002B259E">
        <w:t> :</w:t>
      </w:r>
    </w:p>
    <w:p w14:paraId="4C3EE648" w14:textId="77777777" w:rsidR="002B259E" w:rsidRPr="002B259E" w:rsidRDefault="002B259E" w:rsidP="001E0AB0">
      <w:pPr>
        <w:numPr>
          <w:ilvl w:val="0"/>
          <w:numId w:val="7"/>
        </w:numPr>
        <w:jc w:val="both"/>
        <w:rPr>
          <w:color w:val="0000FF"/>
        </w:rPr>
      </w:pPr>
      <w:r>
        <w:t>Le non</w:t>
      </w:r>
      <w:r w:rsidR="00FA3275">
        <w:t>-</w:t>
      </w:r>
      <w:r>
        <w:t xml:space="preserve">respect des termes du litige : Pour la Cavimac il ne serait pas contesté que la notification de pension aurait été reçue dans le délai normal d’acheminement du courrier par voie postale. Cet argument n’apparaît pas dans le mémoire contre </w:t>
      </w:r>
      <w:proofErr w:type="gramStart"/>
      <w:r>
        <w:t>M</w:t>
      </w:r>
      <w:r w:rsidR="00FA3275">
        <w:t>.</w:t>
      </w:r>
      <w:r>
        <w:t>MARGUET</w:t>
      </w:r>
      <w:proofErr w:type="gramEnd"/>
      <w:r>
        <w:t>.</w:t>
      </w:r>
    </w:p>
    <w:p w14:paraId="24153A64" w14:textId="77777777" w:rsidR="00614C79" w:rsidRPr="002B259E" w:rsidRDefault="002B259E" w:rsidP="001E0AB0">
      <w:pPr>
        <w:numPr>
          <w:ilvl w:val="0"/>
          <w:numId w:val="7"/>
        </w:numPr>
        <w:jc w:val="both"/>
        <w:rPr>
          <w:color w:val="0000FF"/>
        </w:rPr>
      </w:pPr>
      <w:r>
        <w:t>Les organismes de sécurité sociale ne sont pas tenus d’envoyer leurs notifications de pension en LRAR. Ce moyen n’apparaît pas dans le mémoire contre M MARGUET.</w:t>
      </w:r>
    </w:p>
    <w:p w14:paraId="5D6DC6D3" w14:textId="77777777" w:rsidR="002B259E" w:rsidRDefault="002B259E" w:rsidP="001E0AB0">
      <w:pPr>
        <w:numPr>
          <w:ilvl w:val="0"/>
          <w:numId w:val="7"/>
        </w:numPr>
        <w:jc w:val="both"/>
      </w:pPr>
      <w:r w:rsidRPr="002B259E">
        <w:t>Le commencement d</w:t>
      </w:r>
      <w:r>
        <w:t>e preuve (article 1347 du code civil) et l’aveu judiciaire (article 1357 du code civil). Ces moyens n’apparaissent pas dans le mémoire contre M</w:t>
      </w:r>
      <w:r w:rsidR="00FA3275">
        <w:t>. </w:t>
      </w:r>
      <w:r>
        <w:t>MARGUET.</w:t>
      </w:r>
    </w:p>
    <w:p w14:paraId="577164D8" w14:textId="77777777" w:rsidR="002B259E" w:rsidRDefault="002B259E" w:rsidP="00182F45">
      <w:pPr>
        <w:pStyle w:val="Titre3"/>
      </w:pPr>
      <w:bookmarkStart w:id="6" w:name="_Toc378424506"/>
      <w:r>
        <w:t>Comparaison avec mémoire contre JM Steiger.</w:t>
      </w:r>
      <w:bookmarkEnd w:id="6"/>
    </w:p>
    <w:p w14:paraId="3436844B" w14:textId="77777777" w:rsidR="007A7A02" w:rsidRDefault="007A7A02" w:rsidP="007A7A02">
      <w:pPr>
        <w:jc w:val="both"/>
      </w:pPr>
      <w:r>
        <w:t>Dans ce dossier la Cavimac fait porter sa contestation essentiellement sur le fait que le document (notification) qu’elle a transmis au cours du délibéré avait été produit par l’</w:t>
      </w:r>
      <w:r w:rsidR="001E0AB0">
        <w:t xml:space="preserve">intéressé en première instance. </w:t>
      </w:r>
      <w:r>
        <w:t>Et aussi sur le fait que malgré la décision de la commission de recours amiable elle n’aurait pas renoncé à se prévaloir de l</w:t>
      </w:r>
      <w:r w:rsidR="00FA3275">
        <w:t>a</w:t>
      </w:r>
      <w:r>
        <w:t xml:space="preserve"> forclusion.</w:t>
      </w:r>
    </w:p>
    <w:p w14:paraId="2A7DF236" w14:textId="77777777" w:rsidR="001E0AB0" w:rsidRDefault="001E0AB0" w:rsidP="001E0AB0">
      <w:pPr>
        <w:pStyle w:val="Titre3"/>
      </w:pPr>
      <w:bookmarkStart w:id="7" w:name="_Toc378424507"/>
      <w:r>
        <w:t>Comparaison avec mémoire contre R MENET.</w:t>
      </w:r>
      <w:bookmarkEnd w:id="7"/>
    </w:p>
    <w:p w14:paraId="3CC1C79A" w14:textId="77777777" w:rsidR="001E0AB0" w:rsidRPr="001E0AB0" w:rsidRDefault="001E0AB0" w:rsidP="001E0AB0">
      <w:r>
        <w:t>La Cavimac reprend les deux premiers arguments utilisés contre G BARTHOULOT.</w:t>
      </w:r>
    </w:p>
    <w:p w14:paraId="71132B72" w14:textId="77777777" w:rsidR="003A7685" w:rsidRDefault="003A7685" w:rsidP="00182F45">
      <w:pPr>
        <w:pStyle w:val="Titre2"/>
      </w:pPr>
      <w:bookmarkStart w:id="8" w:name="_Toc378424508"/>
      <w:r>
        <w:t>Bilan.</w:t>
      </w:r>
      <w:bookmarkEnd w:id="8"/>
    </w:p>
    <w:p w14:paraId="07769FB7" w14:textId="77777777" w:rsidR="003A7685" w:rsidRDefault="001E0AB0" w:rsidP="003A7685">
      <w:r>
        <w:t>Il est donc possible d’observer une évolution dans l’argumentaire de la Cavimac.</w:t>
      </w:r>
    </w:p>
    <w:p w14:paraId="6CD9E726" w14:textId="77777777" w:rsidR="001E0AB0" w:rsidRDefault="001E0AB0" w:rsidP="000876DD">
      <w:pPr>
        <w:jc w:val="both"/>
      </w:pPr>
      <w:r>
        <w:t>Contre M MARGUET, la Cavimac n’établit pas la date d’un éventuel envoi de la notification, n’établit pas la date de sa réception. Elle n’apporte pas la preuve que la notification portait mention des voies et délais de recours.</w:t>
      </w:r>
      <w:r w:rsidR="000876DD">
        <w:t xml:space="preserve"> À aucun moment elle n’a soulevé une éventuelle prescription. </w:t>
      </w:r>
      <w:r w:rsidR="00E40734">
        <w:t xml:space="preserve">Elle a tenté d’apporter ce moyen nouveau sous forme d’une requête en interprétation. Elle a été déboutée. </w:t>
      </w:r>
      <w:r w:rsidR="000876DD">
        <w:t>Elle en est réduite aux mêmes contorsions que</w:t>
      </w:r>
      <w:r w:rsidR="00E40734">
        <w:t xml:space="preserve"> pour </w:t>
      </w:r>
      <w:r w:rsidR="000876DD">
        <w:t>les autres affaires.</w:t>
      </w:r>
    </w:p>
    <w:p w14:paraId="7E859B6E" w14:textId="77777777" w:rsidR="003A7685" w:rsidRDefault="003A7685" w:rsidP="000876DD">
      <w:pPr>
        <w:jc w:val="both"/>
      </w:pPr>
      <w:r>
        <w:t xml:space="preserve">Les éléments que Me Gatineau a déjà produits et qui se trouvent le plus en adéquation avec </w:t>
      </w:r>
      <w:r w:rsidR="000876DD">
        <w:t>l’affaire MARGUET</w:t>
      </w:r>
      <w:r>
        <w:t>, se trouvent dans le mémoire en défense pour G Barthoulot pages 4 à 8 et dans le mémoire</w:t>
      </w:r>
      <w:r w:rsidR="000876DD">
        <w:t xml:space="preserve"> Steiger V page 4-5 et V page 6 et surtout dans le mémoire en défense pour R. MENET.</w:t>
      </w:r>
    </w:p>
    <w:p w14:paraId="66A8CA43" w14:textId="77777777" w:rsidR="00842D06" w:rsidRDefault="00842D06" w:rsidP="00842D06">
      <w:pPr>
        <w:pStyle w:val="Titre1"/>
      </w:pPr>
      <w:bookmarkStart w:id="9" w:name="_Toc378424509"/>
      <w:r w:rsidRPr="00842D06">
        <w:lastRenderedPageBreak/>
        <w:t>Observations en réplique au mémoire adverse</w:t>
      </w:r>
      <w:r>
        <w:t>.</w:t>
      </w:r>
      <w:bookmarkEnd w:id="9"/>
    </w:p>
    <w:p w14:paraId="74645D8E" w14:textId="77777777" w:rsidR="00C9480E" w:rsidRPr="00C9480E" w:rsidRDefault="00C9480E" w:rsidP="00C9480E">
      <w:pPr>
        <w:jc w:val="right"/>
        <w:rPr>
          <w:i/>
        </w:rPr>
      </w:pPr>
      <w:r>
        <w:rPr>
          <w:i/>
        </w:rPr>
        <w:t>Geneviève et Marcel MARGUET</w:t>
      </w:r>
    </w:p>
    <w:p w14:paraId="4965FC08" w14:textId="77777777" w:rsidR="00842D06" w:rsidRPr="00842D06" w:rsidRDefault="00842D06" w:rsidP="00C9480E">
      <w:pPr>
        <w:spacing w:before="240"/>
        <w:ind w:left="567"/>
        <w:jc w:val="both"/>
      </w:pPr>
      <w:r w:rsidRPr="00842D06">
        <w:t>La CAVIMAC semble n'avoir qu'un seul argument : la notification d'attribution de pension comporterait selon elle, les voies de recours et les délais et prétendument Marcel n'aurait pas contesté cela lors de l'audience en appel.</w:t>
      </w:r>
    </w:p>
    <w:p w14:paraId="6882AB07" w14:textId="77777777" w:rsidR="00842D06" w:rsidRPr="00842D06" w:rsidRDefault="00842D06" w:rsidP="00C9480E">
      <w:pPr>
        <w:spacing w:before="240"/>
        <w:ind w:left="567"/>
        <w:jc w:val="both"/>
      </w:pPr>
      <w:r w:rsidRPr="00842D06">
        <w:rPr>
          <w:b/>
        </w:rPr>
        <w:t>Rappel</w:t>
      </w:r>
      <w:r w:rsidRPr="00842D06">
        <w:t xml:space="preserve"> : mon épouse et moi, nous n'avons pas trouvé la notification de pension alors que nous conservons l’intégralité de nos documents administratifs personnels et familiaux. Malgré nos vérifications, il est impossible de savoir si la notification recherchée – et introuvable – portait mention des voies et délais de recours. N’est produit par la Cavimac que le courrier de Marcel à la CAMAVIC datant du 29 mars 1997 (pièce n°34 en cour d’appel), dans lequel Marcel contestait le montant de sa pension, l’omission de trimestres de droit à retraite et mentionnait </w:t>
      </w:r>
      <w:r w:rsidRPr="00842D06">
        <w:rPr>
          <w:i/>
        </w:rPr>
        <w:t xml:space="preserve">« Je reçois le 17/03/1997, </w:t>
      </w:r>
      <w:proofErr w:type="gramStart"/>
      <w:r w:rsidRPr="00842D06">
        <w:rPr>
          <w:i/>
        </w:rPr>
        <w:t>votre  lettre</w:t>
      </w:r>
      <w:proofErr w:type="gramEnd"/>
      <w:r w:rsidRPr="00842D06">
        <w:rPr>
          <w:i/>
        </w:rPr>
        <w:t xml:space="preserve"> d'attribution de pension".</w:t>
      </w:r>
    </w:p>
    <w:p w14:paraId="77E80980" w14:textId="77777777" w:rsidR="00842D06" w:rsidRPr="00842D06" w:rsidRDefault="00842D06" w:rsidP="00C9480E">
      <w:pPr>
        <w:spacing w:before="240"/>
        <w:ind w:left="567"/>
        <w:jc w:val="both"/>
      </w:pPr>
      <w:r w:rsidRPr="00842D06">
        <w:t>La CAVIMAC a renchéri en audience sur ce courrier du 17/03/97 mais cela s'est retourné contre elle car le juge a déduit que Marcel, avait porté ses 3 contestations devant celle -ci et a constaté que le directeur de la CAMAVIC lui répondait cavalièrement "tardivement" sans donner de suite à savoir sans transmettre le courrier de contestations à la CRA (courrier contenu dans la pièce n° 34 à la suite du courrier de Marcel).</w:t>
      </w:r>
    </w:p>
    <w:p w14:paraId="1BC16B2A" w14:textId="77777777" w:rsidR="00842D06" w:rsidRPr="00842D06" w:rsidRDefault="00842D06" w:rsidP="00C9480E">
      <w:pPr>
        <w:spacing w:before="240"/>
        <w:ind w:left="567"/>
        <w:jc w:val="both"/>
      </w:pPr>
      <w:r w:rsidRPr="00842D06">
        <w:t>Il en résulte pour nous 2 suppositions : soit la CAVIMAC ne possède pas le double de la notification de pension, soit – plus vraisemblable selon moi – elle le possède mais cette notification n'est pas conforme et ne mentionne ni voies ni délai de recours. En tout cas elle aurait déjà fait valoir cette preuve si celle-ci existait !</w:t>
      </w:r>
    </w:p>
    <w:p w14:paraId="6638E0E1" w14:textId="77777777" w:rsidR="00842D06" w:rsidRPr="00842D06" w:rsidRDefault="00842D06" w:rsidP="00C9480E">
      <w:pPr>
        <w:spacing w:before="240"/>
        <w:ind w:left="567"/>
        <w:jc w:val="both"/>
      </w:pPr>
      <w:r w:rsidRPr="00842D06">
        <w:t xml:space="preserve">On peut encore objecter que le courrier de réponse du directeur du 19 juillet 1997 (cf. pièce 34) n'est pas tenu à rappeler voies et délais de recours que la notification non trouvée – non produite – devait comporter. </w:t>
      </w:r>
    </w:p>
    <w:p w14:paraId="2F18018A" w14:textId="77777777" w:rsidR="00842D06" w:rsidRPr="00842D06" w:rsidRDefault="00842D06" w:rsidP="00C9480E">
      <w:pPr>
        <w:spacing w:before="240"/>
        <w:ind w:left="567"/>
        <w:jc w:val="both"/>
      </w:pPr>
      <w:r w:rsidRPr="00842D06">
        <w:t xml:space="preserve">Mais si l’hypothétique notification inexistante n'en parle pas, </w:t>
      </w:r>
      <w:r w:rsidRPr="00842D06">
        <w:rPr>
          <w:b/>
        </w:rPr>
        <w:t>c'est à mon sens une grave erreur administrative de ne pas avoir transmis en 1997, mon courrier de contestations à la CRA</w:t>
      </w:r>
      <w:r w:rsidRPr="00842D06">
        <w:t xml:space="preserve">, lequel portait notamment sur les trimestres exclus. </w:t>
      </w:r>
    </w:p>
    <w:p w14:paraId="46FFD0E4" w14:textId="77777777" w:rsidR="00842D06" w:rsidRPr="00842D06" w:rsidRDefault="00842D06" w:rsidP="00C9480E">
      <w:pPr>
        <w:spacing w:before="240"/>
        <w:ind w:left="567"/>
        <w:jc w:val="both"/>
      </w:pPr>
      <w:r w:rsidRPr="00842D06">
        <w:t>La commission de recours amiable avait compétence pour répondre sur ce point des trimestres exclus. Or mes réclamations obligeaient le directeur à transmettre à ladite commission mon courrier qui lui était bien adressé dans les délais !</w:t>
      </w:r>
    </w:p>
    <w:p w14:paraId="5EFD98C9" w14:textId="77777777" w:rsidR="00842D06" w:rsidRPr="00842D06" w:rsidRDefault="00842D06" w:rsidP="00C9480E">
      <w:pPr>
        <w:spacing w:before="240"/>
        <w:ind w:left="567"/>
        <w:jc w:val="both"/>
      </w:pPr>
      <w:r w:rsidRPr="00842D06">
        <w:t xml:space="preserve">Je rappelle une phase d’incertitude et de tension lors de l’investigation pointilleuse du Juge pendant l’audience face au directeur présent de la Cavimac : </w:t>
      </w:r>
    </w:p>
    <w:p w14:paraId="41DB4EAE" w14:textId="77777777" w:rsidR="00842D06" w:rsidRPr="00842D06" w:rsidRDefault="00842D06" w:rsidP="00C9480E">
      <w:pPr>
        <w:numPr>
          <w:ilvl w:val="0"/>
          <w:numId w:val="10"/>
        </w:numPr>
        <w:ind w:left="1281" w:hanging="357"/>
        <w:jc w:val="both"/>
      </w:pPr>
      <w:r w:rsidRPr="00842D06">
        <w:t>Marcel Marguet affirmait ne pas avoir reçu de notification de pension, mais seulement une lettre d’attribution de pension.</w:t>
      </w:r>
    </w:p>
    <w:p w14:paraId="15664620" w14:textId="77777777" w:rsidR="00842D06" w:rsidRPr="00842D06" w:rsidRDefault="00842D06" w:rsidP="00C9480E">
      <w:pPr>
        <w:numPr>
          <w:ilvl w:val="0"/>
          <w:numId w:val="10"/>
        </w:numPr>
        <w:ind w:left="1281" w:hanging="357"/>
        <w:jc w:val="both"/>
      </w:pPr>
      <w:r w:rsidRPr="00842D06">
        <w:t xml:space="preserve">Alors M. </w:t>
      </w:r>
      <w:proofErr w:type="spellStart"/>
      <w:r w:rsidRPr="00842D06">
        <w:t>Dessertaine</w:t>
      </w:r>
      <w:proofErr w:type="spellEnd"/>
      <w:r w:rsidRPr="00842D06">
        <w:t>, amalgamant notification et lettre d’attribution, l'a traité de « menteur </w:t>
      </w:r>
      <w:proofErr w:type="gramStart"/>
      <w:r w:rsidRPr="00842D06">
        <w:t>»  en</w:t>
      </w:r>
      <w:proofErr w:type="gramEnd"/>
      <w:r w:rsidRPr="00842D06">
        <w:t xml:space="preserve"> montrant  avec humeur au juge des documents que nous ne connaissions pas et donc que nous n’avions  pas étudiés. </w:t>
      </w:r>
    </w:p>
    <w:p w14:paraId="0F9CF618" w14:textId="77777777" w:rsidR="00842D06" w:rsidRPr="00842D06" w:rsidRDefault="00842D06" w:rsidP="00C9480E">
      <w:pPr>
        <w:spacing w:before="240"/>
        <w:ind w:left="567"/>
        <w:jc w:val="both"/>
      </w:pPr>
      <w:r w:rsidRPr="00842D06">
        <w:lastRenderedPageBreak/>
        <w:t>Les arguments du mémoire ampliatif de la Cavimac sont donc mensongers. Il est faux de dire que « Monsieur Marguet n'a pas contesté en audience avoir reçu une notification comportant voies et délais de recours ».</w:t>
      </w:r>
    </w:p>
    <w:p w14:paraId="1399C09A" w14:textId="77777777" w:rsidR="00842D06" w:rsidRPr="00842D06" w:rsidRDefault="00842D06" w:rsidP="00C9480E">
      <w:pPr>
        <w:spacing w:before="240"/>
        <w:ind w:left="567"/>
        <w:jc w:val="both"/>
      </w:pPr>
      <w:r w:rsidRPr="00842D06">
        <w:t xml:space="preserve">Nous tenons à rappeler les conclusions additionnelles envoyées à toutes les parties, où Marcel Marguet </w:t>
      </w:r>
      <w:proofErr w:type="gramStart"/>
      <w:r w:rsidRPr="00842D06">
        <w:t>disait  très</w:t>
      </w:r>
      <w:proofErr w:type="gramEnd"/>
      <w:r w:rsidRPr="00842D06">
        <w:t xml:space="preserve"> clairement : </w:t>
      </w:r>
    </w:p>
    <w:p w14:paraId="0C7E8B2C" w14:textId="77777777" w:rsidR="00842D06" w:rsidRPr="00842D06" w:rsidRDefault="00842D06" w:rsidP="00C9480E">
      <w:pPr>
        <w:spacing w:before="240"/>
        <w:ind w:left="567"/>
        <w:jc w:val="both"/>
        <w:rPr>
          <w:b/>
          <w:i/>
        </w:rPr>
      </w:pPr>
      <w:r w:rsidRPr="00842D06">
        <w:rPr>
          <w:i/>
        </w:rPr>
        <w:t xml:space="preserve">« Pour opposer la forclusion, l’article R 142-1 fait obligation d’établir la date à laquelle l’assuré a eu connaissance de la décision accompagnée des voies et des délais de recours. Je relève tout d’abord que </w:t>
      </w:r>
      <w:r w:rsidRPr="00842D06">
        <w:rPr>
          <w:b/>
          <w:i/>
        </w:rPr>
        <w:t>le courrier du 20 août 1993 de la CAMAVIC établissant le relevé des trimestres validés (pièce jointe aux conclusions) ne mentionne ni voie ni délai de recours.</w:t>
      </w:r>
    </w:p>
    <w:p w14:paraId="6DADC570" w14:textId="77777777" w:rsidR="00842D06" w:rsidRPr="00842D06" w:rsidRDefault="00842D06" w:rsidP="00C9480E">
      <w:pPr>
        <w:spacing w:before="240"/>
        <w:ind w:left="567"/>
        <w:jc w:val="both"/>
        <w:rPr>
          <w:i/>
        </w:rPr>
      </w:pPr>
      <w:r w:rsidRPr="00842D06">
        <w:rPr>
          <w:i/>
        </w:rPr>
        <w:t>La CAVIMAC joint dans ses conclusions une pièce qui est un courrier de moi-même datant du 29 mars 1997. Ce courrier dit que j’ai reçu le 17 mars 1997 le courrier d’attribution de la pension.</w:t>
      </w:r>
      <w:r w:rsidRPr="00842D06">
        <w:rPr>
          <w:b/>
          <w:i/>
        </w:rPr>
        <w:t xml:space="preserve"> Ce courrier n’indique aucunement que celui de la CAMAVIC informe des voies de recours et des délais. </w:t>
      </w:r>
      <w:r w:rsidRPr="00842D06">
        <w:rPr>
          <w:i/>
        </w:rPr>
        <w:t>D’ailleurs ce qui le prouve est le fait que je m’adresse seulement au directeur et non à la Commission de recours amiable.</w:t>
      </w:r>
    </w:p>
    <w:p w14:paraId="3E7C4B34" w14:textId="77777777" w:rsidR="00842D06" w:rsidRPr="00842D06" w:rsidRDefault="00842D06" w:rsidP="00C9480E">
      <w:pPr>
        <w:spacing w:before="240"/>
        <w:ind w:left="567"/>
        <w:jc w:val="both"/>
      </w:pPr>
      <w:r w:rsidRPr="00842D06">
        <w:rPr>
          <w:i/>
        </w:rPr>
        <w:t>Je vous transmets en pièce n°34 la réponse de la CAMAVIC datant du 11 juillet 1997 qui ne fait pas état d’une possibilité de saisir une commission de recours, ni de délai pour ce faire. Ainsi, la CAMAVIC devenue CAVIMAC n’apporte aucune preuve qu’elle m’aurait informé des voies et des délais de recours en mars 1997</w:t>
      </w:r>
      <w:r w:rsidRPr="00842D06">
        <w:t> ».</w:t>
      </w:r>
    </w:p>
    <w:p w14:paraId="415DEAEC" w14:textId="77777777" w:rsidR="00842D06" w:rsidRPr="00842D06" w:rsidRDefault="00842D06" w:rsidP="00C9480E">
      <w:pPr>
        <w:spacing w:before="240"/>
        <w:ind w:left="567"/>
        <w:jc w:val="both"/>
      </w:pPr>
      <w:r w:rsidRPr="00842D06">
        <w:t>DONC il me semble que l'écrit envoyé honnêtement et loyalement à tous avant l'audience prévaut sur un moment d'incertitude le jour de l'audience.</w:t>
      </w:r>
    </w:p>
    <w:p w14:paraId="4B0A4231" w14:textId="77777777" w:rsidR="00842D06" w:rsidRPr="00842D06" w:rsidRDefault="00842D06" w:rsidP="00C9480E">
      <w:pPr>
        <w:spacing w:before="240"/>
        <w:ind w:left="567"/>
        <w:jc w:val="both"/>
      </w:pPr>
      <w:r w:rsidRPr="00842D06">
        <w:t xml:space="preserve">De plus, quand je lis dans le mémoire page 4 § </w:t>
      </w:r>
      <w:proofErr w:type="gramStart"/>
      <w:r w:rsidRPr="00842D06">
        <w:t xml:space="preserve">1  </w:t>
      </w:r>
      <w:r w:rsidRPr="00842D06">
        <w:rPr>
          <w:i/>
        </w:rPr>
        <w:t>«</w:t>
      </w:r>
      <w:proofErr w:type="gramEnd"/>
      <w:r w:rsidRPr="00842D06">
        <w:t> </w:t>
      </w:r>
      <w:r w:rsidRPr="00842D06">
        <w:rPr>
          <w:i/>
        </w:rPr>
        <w:t xml:space="preserve">il est donc acquis, pour les parties, que la notification .... mentionnait le délai de recours ... » </w:t>
      </w:r>
      <w:r w:rsidRPr="00842D06">
        <w:t xml:space="preserve">je réponds que </w:t>
      </w:r>
      <w:r w:rsidRPr="00842D06">
        <w:rPr>
          <w:u w:val="single"/>
        </w:rPr>
        <w:t xml:space="preserve">le propos de l’exposant du mémoire </w:t>
      </w:r>
      <w:r w:rsidR="00C9480E" w:rsidRPr="00842D06">
        <w:rPr>
          <w:u w:val="single"/>
        </w:rPr>
        <w:t>ampliatif</w:t>
      </w:r>
      <w:r w:rsidRPr="00842D06">
        <w:rPr>
          <w:u w:val="single"/>
        </w:rPr>
        <w:t xml:space="preserve">  adverse  est FAUX et abusif</w:t>
      </w:r>
      <w:r w:rsidRPr="00842D06">
        <w:t xml:space="preserve">, qu’il fait, en pages 3 à 5 une pétition de principe (= </w:t>
      </w:r>
      <w:hyperlink r:id="rId8" w:tooltip="Raisonnement fallacieux" w:history="1">
        <w:r w:rsidRPr="00842D06">
          <w:rPr>
            <w:u w:val="single"/>
          </w:rPr>
          <w:t>raisonnement fallacieux</w:t>
        </w:r>
      </w:hyperlink>
      <w:r w:rsidRPr="00842D06">
        <w:t xml:space="preserve"> dans lequel on suppose dans les </w:t>
      </w:r>
      <w:hyperlink r:id="rId9" w:tooltip="Prémisse" w:history="1">
        <w:r w:rsidRPr="00842D06">
          <w:rPr>
            <w:u w:val="single"/>
          </w:rPr>
          <w:t>prémisses</w:t>
        </w:r>
      </w:hyperlink>
      <w:r w:rsidRPr="00842D06">
        <w:t xml:space="preserve"> la proposition qu'on doit prouver), en qualifiant de notification  une simple lettre pour pouvoir ensuite bâtir une argumentation à mon avis mal fondée.</w:t>
      </w:r>
    </w:p>
    <w:p w14:paraId="639A1F33" w14:textId="77777777" w:rsidR="00842D06" w:rsidRPr="00842D06" w:rsidRDefault="00842D06" w:rsidP="00C9480E">
      <w:pPr>
        <w:spacing w:before="240"/>
        <w:ind w:left="567"/>
        <w:jc w:val="both"/>
      </w:pPr>
      <w:r w:rsidRPr="00842D06">
        <w:t xml:space="preserve">Mes écrits et le processus d’audience ont démontré on ne peut plus clairement, qu’on ne pouvait pas parler de délais de recours, d’accusé de réception. </w:t>
      </w:r>
    </w:p>
    <w:p w14:paraId="2AABD9B8" w14:textId="77777777" w:rsidR="00842D06" w:rsidRDefault="00842D06" w:rsidP="00C9480E">
      <w:pPr>
        <w:pStyle w:val="Titre1"/>
        <w:numPr>
          <w:ilvl w:val="0"/>
          <w:numId w:val="0"/>
        </w:numPr>
        <w:spacing w:after="0"/>
        <w:ind w:left="431"/>
      </w:pPr>
    </w:p>
    <w:p w14:paraId="1DCC3ACB" w14:textId="77777777" w:rsidR="00D46B49" w:rsidRDefault="00C9480E" w:rsidP="00D46B49">
      <w:pPr>
        <w:pStyle w:val="Titre1"/>
      </w:pPr>
      <w:r>
        <w:br w:type="page"/>
      </w:r>
      <w:bookmarkStart w:id="10" w:name="_Toc378424510"/>
      <w:r w:rsidR="00D46B49">
        <w:lastRenderedPageBreak/>
        <w:t>Elements de réponse à l’argument de forclusion.</w:t>
      </w:r>
      <w:bookmarkEnd w:id="10"/>
    </w:p>
    <w:p w14:paraId="3EF83425" w14:textId="77777777" w:rsidR="00D46B49" w:rsidRPr="00D46B49" w:rsidRDefault="00D46B49" w:rsidP="00D46B49">
      <w:pPr>
        <w:jc w:val="right"/>
        <w:rPr>
          <w:i/>
        </w:rPr>
      </w:pPr>
      <w:r>
        <w:rPr>
          <w:i/>
        </w:rPr>
        <w:t>Alain GAUTHIER</w:t>
      </w:r>
    </w:p>
    <w:p w14:paraId="52F54456" w14:textId="77777777" w:rsidR="00D46B49" w:rsidRDefault="00D46B49" w:rsidP="00D46B49">
      <w:pPr>
        <w:pStyle w:val="Titre2"/>
      </w:pPr>
      <w:bookmarkStart w:id="11" w:name="_Toc378424511"/>
      <w:r>
        <w:t>Sur la décision de la CRa et la forclusion.</w:t>
      </w:r>
      <w:bookmarkEnd w:id="11"/>
    </w:p>
    <w:p w14:paraId="264B695E" w14:textId="77777777" w:rsidR="00512D0A" w:rsidRDefault="00D46B49" w:rsidP="00512D0A">
      <w:pPr>
        <w:ind w:left="567"/>
        <w:jc w:val="both"/>
        <w:rPr>
          <w:i/>
          <w:iCs/>
        </w:rPr>
      </w:pPr>
      <w:r w:rsidRPr="00512D0A">
        <w:rPr>
          <w:i/>
        </w:rPr>
        <w:t>«</w:t>
      </w:r>
      <w:r w:rsidRPr="00D46B49">
        <w:t> </w:t>
      </w:r>
      <w:r w:rsidRPr="00D46B49">
        <w:rPr>
          <w:b/>
          <w:i/>
          <w:iCs/>
        </w:rPr>
        <w:t xml:space="preserve">Les réclamations relevant de </w:t>
      </w:r>
      <w:hyperlink r:id="rId10" w:history="1">
        <w:r w:rsidRPr="00D46B49">
          <w:rPr>
            <w:rStyle w:val="Lienhypertexte"/>
            <w:i/>
            <w:iCs/>
          </w:rPr>
          <w:t>l'article L. 142-1</w:t>
        </w:r>
      </w:hyperlink>
      <w:r w:rsidRPr="00D46B49">
        <w:rPr>
          <w:iCs/>
        </w:rPr>
        <w:t xml:space="preserve"> </w:t>
      </w:r>
      <w:r w:rsidRPr="00D46B49">
        <w:rPr>
          <w:i/>
          <w:iCs/>
        </w:rPr>
        <w:t xml:space="preserve">formées contre les décisions prises par les organismes de sécurité sociale et de mutualité sociale agricole de salariés ou de non-salariés sont </w:t>
      </w:r>
      <w:r w:rsidRPr="00D46B49">
        <w:rPr>
          <w:b/>
          <w:i/>
          <w:iCs/>
        </w:rPr>
        <w:t>soumises à une commission de recours amiable</w:t>
      </w:r>
      <w:r w:rsidRPr="00D46B49">
        <w:rPr>
          <w:i/>
          <w:iCs/>
        </w:rPr>
        <w:t xml:space="preserve"> composée et constituée au sein du conseil d'administration de chaque organisme. Cette commission doit être saisie dans le délai de deux mois à compter de la notification de la décision contre laquelle les intéressés entendent former une réclamation. La forclusion ne peut être opposée aux intéressés que si cette notification porte mention de ce dél</w:t>
      </w:r>
      <w:r w:rsidR="00512D0A">
        <w:rPr>
          <w:i/>
          <w:iCs/>
        </w:rPr>
        <w:t>ai ».</w:t>
      </w:r>
    </w:p>
    <w:p w14:paraId="3615F19F" w14:textId="77777777" w:rsidR="00512D0A" w:rsidRPr="00512D0A" w:rsidRDefault="00512D0A" w:rsidP="00512D0A">
      <w:pPr>
        <w:jc w:val="both"/>
        <w:rPr>
          <w:b/>
        </w:rPr>
      </w:pPr>
      <w:r w:rsidRPr="00512D0A">
        <w:rPr>
          <w:b/>
        </w:rPr>
        <w:t>Inspiré du mémoire en défense de Me Gatineau pour JM Steiger</w:t>
      </w:r>
      <w:r w:rsidRPr="00512D0A">
        <w:t> (pages 4-5)</w:t>
      </w:r>
      <w:r>
        <w:rPr>
          <w:b/>
        </w:rPr>
        <w:t xml:space="preserve"> </w:t>
      </w:r>
      <w:r w:rsidRPr="00512D0A">
        <w:rPr>
          <w:b/>
        </w:rPr>
        <w:t>:</w:t>
      </w:r>
    </w:p>
    <w:p w14:paraId="02E33CA1" w14:textId="77777777" w:rsidR="00D46B49" w:rsidRPr="00D46B49" w:rsidRDefault="00D46B49" w:rsidP="00512D0A">
      <w:pPr>
        <w:jc w:val="both"/>
      </w:pPr>
      <w:r w:rsidRPr="00D46B49">
        <w:t>En vertu dudit article R. 142-1 du Code de la sécurité sociale, les réclamations relevant de l’article L. 142-1 du même Code formées contre les décisions prises par les organismes de sécurité sociale et de mutualité sociale agricole de salariés ou de non-salariés doivent être formulées devant une commission de recours amiable dans les deux mois à compter de la notification de la décision contre laquelle les intéressés entendent former une réclamation.</w:t>
      </w:r>
    </w:p>
    <w:p w14:paraId="62999420" w14:textId="77777777" w:rsidR="00D46B49" w:rsidRPr="00D46B49" w:rsidRDefault="00D46B49" w:rsidP="00D46B49">
      <w:pPr>
        <w:jc w:val="both"/>
      </w:pPr>
      <w:r w:rsidRPr="00D46B49">
        <w:t xml:space="preserve">Toutefois, </w:t>
      </w:r>
      <w:r w:rsidRPr="00D46B49">
        <w:rPr>
          <w:b/>
        </w:rPr>
        <w:t>cette commission de recours amiable peut renoncer à se prévaloir de la forclusion attachée au délai</w:t>
      </w:r>
      <w:r w:rsidRPr="00D46B49">
        <w:t xml:space="preserve"> prévu par le texte précité. Bien que la renonciation à un droit ne se présume pas, il est constant qu</w:t>
      </w:r>
      <w:proofErr w:type="gramStart"/>
      <w:r w:rsidRPr="00D46B49">
        <w:t>’«</w:t>
      </w:r>
      <w:proofErr w:type="gramEnd"/>
      <w:r w:rsidRPr="00D46B49">
        <w:t> </w:t>
      </w:r>
      <w:r w:rsidRPr="00D46B49">
        <w:rPr>
          <w:i/>
          <w:iCs/>
        </w:rPr>
        <w:t>elle peut ne pas être expresse si elle résulte de faits non équivoques impliquant nécessairement la volonté de renoncer en connaissance de cause</w:t>
      </w:r>
      <w:r w:rsidRPr="00D46B49">
        <w:t xml:space="preserve"> » (Cass. com., 15 décembre 1965, </w:t>
      </w:r>
      <w:r w:rsidRPr="00D46B49">
        <w:rPr>
          <w:i/>
          <w:iCs/>
        </w:rPr>
        <w:t xml:space="preserve">Bull. civ. </w:t>
      </w:r>
      <w:r w:rsidRPr="00D46B49">
        <w:t xml:space="preserve">1965, IV, n° 651 ; Cass. 2e civ., 10 juin 1966, </w:t>
      </w:r>
      <w:r w:rsidRPr="00D46B49">
        <w:rPr>
          <w:i/>
          <w:iCs/>
        </w:rPr>
        <w:t xml:space="preserve">Bull. civ. </w:t>
      </w:r>
      <w:r w:rsidRPr="00D46B49">
        <w:t>1966, II, n° 673 ; Cass. 1</w:t>
      </w:r>
      <w:r w:rsidRPr="00D46B49">
        <w:rPr>
          <w:vertAlign w:val="superscript"/>
        </w:rPr>
        <w:t>e</w:t>
      </w:r>
      <w:r w:rsidRPr="00D46B49">
        <w:t xml:space="preserve"> civ., 8 janvier 1962, </w:t>
      </w:r>
      <w:r w:rsidRPr="00D46B49">
        <w:rPr>
          <w:i/>
          <w:iCs/>
        </w:rPr>
        <w:t>Bull. civ</w:t>
      </w:r>
      <w:r w:rsidRPr="00D46B49">
        <w:t>. 1962, I, n° 8).</w:t>
      </w:r>
    </w:p>
    <w:p w14:paraId="38D46CD7" w14:textId="77777777" w:rsidR="00D46B49" w:rsidRPr="00D46B49" w:rsidRDefault="00D46B49" w:rsidP="00D46B49">
      <w:pPr>
        <w:jc w:val="both"/>
        <w:rPr>
          <w:b/>
          <w:u w:val="single"/>
        </w:rPr>
      </w:pPr>
      <w:r w:rsidRPr="00D46B49">
        <w:rPr>
          <w:b/>
        </w:rPr>
        <w:t>Cette règle fait désormais figure de principe</w:t>
      </w:r>
      <w:r w:rsidRPr="00D46B49">
        <w:t xml:space="preserve"> (Cass. 1</w:t>
      </w:r>
      <w:r w:rsidRPr="00D46B49">
        <w:rPr>
          <w:vertAlign w:val="superscript"/>
        </w:rPr>
        <w:t>e</w:t>
      </w:r>
      <w:r w:rsidRPr="00D46B49">
        <w:t xml:space="preserve"> civ., 3 mars 2011, n° 10-11494, rendu au visa de l’article 1382, ensemble, </w:t>
      </w:r>
      <w:r w:rsidRPr="00D46B49">
        <w:rPr>
          <w:b/>
          <w:bCs/>
        </w:rPr>
        <w:t>« </w:t>
      </w:r>
      <w:r w:rsidRPr="00D46B49">
        <w:rPr>
          <w:i/>
          <w:iCs/>
        </w:rPr>
        <w:t>le principe selon lequel la renonciation à un droit ne peut résulter que d'actes manifestant, sans équivoque, la volonté de renoncer</w:t>
      </w:r>
      <w:r w:rsidRPr="00D46B49">
        <w:t> »).</w:t>
      </w:r>
      <w:r w:rsidR="00512D0A">
        <w:t xml:space="preserve"> </w:t>
      </w:r>
      <w:r w:rsidRPr="00D46B49">
        <w:t xml:space="preserve">Notamment, en matière de sécurité sociale, </w:t>
      </w:r>
      <w:r w:rsidRPr="00D46B49">
        <w:rPr>
          <w:b/>
          <w:u w:val="single"/>
        </w:rPr>
        <w:t>la jurisprudence considère que l’examen au fond d’une demande par ladite commission de recours amiable vaut renonciation à la forclusion édictée par l’article L. 142-1 du Code de la sécurité sociale.</w:t>
      </w:r>
    </w:p>
    <w:p w14:paraId="48603D16" w14:textId="77777777" w:rsidR="00D46B49" w:rsidRPr="00D46B49" w:rsidRDefault="00D46B49" w:rsidP="00D46B49">
      <w:pPr>
        <w:jc w:val="both"/>
      </w:pPr>
      <w:r w:rsidRPr="00D46B49">
        <w:t>Il a ainsi été jugé que « </w:t>
      </w:r>
      <w:r w:rsidRPr="00D46B49">
        <w:rPr>
          <w:i/>
          <w:iCs/>
        </w:rPr>
        <w:t xml:space="preserve">la décision de la caisse refusant la prise en charge d'un accident au titre de la législation professionnelle n'étant, en application de l'article R. 441-14 du code de la sécurité sociale, dans sa rédaction alors applicable, envoyée que pour information à l'employeur, elle ne peut acquérir un caractère définitif à son égard ; qu'il en résulte que l'employeur ne peut invoquer l'autorité de la chose décidée attachée à cette décision, alors que </w:t>
      </w:r>
      <w:r w:rsidRPr="00D46B49">
        <w:rPr>
          <w:b/>
          <w:bCs/>
          <w:i/>
          <w:iCs/>
          <w:u w:val="single"/>
        </w:rPr>
        <w:t>la caisse a, en reprenant l'examen de la demande, </w:t>
      </w:r>
      <w:r w:rsidRPr="00D46B49">
        <w:rPr>
          <w:b/>
          <w:bCs/>
          <w:i/>
          <w:iCs/>
        </w:rPr>
        <w:t>renoncé</w:t>
      </w:r>
      <w:r w:rsidRPr="00D46B49">
        <w:rPr>
          <w:b/>
          <w:bCs/>
          <w:i/>
          <w:iCs/>
          <w:u w:val="single"/>
        </w:rPr>
        <w:t> à se prévaloir de la forclusion résultant de l'absence de recours exercé par la victime dans le délai de l'article R. </w:t>
      </w:r>
      <w:r w:rsidRPr="00D46B49">
        <w:rPr>
          <w:b/>
          <w:bCs/>
          <w:i/>
          <w:iCs/>
        </w:rPr>
        <w:t>142-1 du code de la sécurité sociale</w:t>
      </w:r>
      <w:r w:rsidRPr="00D46B49">
        <w:t> » (Cass. 2</w:t>
      </w:r>
      <w:r w:rsidRPr="00D46B49">
        <w:rPr>
          <w:vertAlign w:val="superscript"/>
        </w:rPr>
        <w:t>e</w:t>
      </w:r>
      <w:r w:rsidRPr="00D46B49">
        <w:t xml:space="preserve"> civ., 16 mars 2010, n° 09-67600).</w:t>
      </w:r>
    </w:p>
    <w:p w14:paraId="2F144BB0" w14:textId="77777777" w:rsidR="00D46B49" w:rsidRPr="00D46B49" w:rsidRDefault="00D46B49" w:rsidP="00D46B49">
      <w:pPr>
        <w:jc w:val="both"/>
      </w:pPr>
      <w:r w:rsidRPr="00D46B49">
        <w:t>De même, il a été jugé que « </w:t>
      </w:r>
      <w:r w:rsidRPr="00D46B49">
        <w:rPr>
          <w:i/>
          <w:iCs/>
        </w:rPr>
        <w:t xml:space="preserve">la décision de la caisse refusant la prise en charge d'un accident au titre de la législation professionnelle n'étant, en application de l'article R. 441-14 du code de la sécurité sociale, dans sa rédaction alors applicable, envoyée que pour information à l'employeur, elle ne peut acquérir un caractère définitif à son égard ; qu'il en résulte que l'employeur ne peut opposer à l'assuré la forclusion résultant de l'absence de recours dans le délai de l'article R. 142-1 du code de la sécurité sociale, </w:t>
      </w:r>
      <w:r w:rsidRPr="00D46B49">
        <w:rPr>
          <w:b/>
          <w:bCs/>
          <w:i/>
          <w:iCs/>
          <w:u w:val="single"/>
        </w:rPr>
        <w:t>alors que la caisse, en reprenant l'examen de la demande, a renoncé à s'en prévaloir</w:t>
      </w:r>
      <w:r w:rsidRPr="00D46B49">
        <w:rPr>
          <w:i/>
          <w:iCs/>
        </w:rPr>
        <w:t> </w:t>
      </w:r>
      <w:r w:rsidRPr="00D46B49">
        <w:t>» (Cass. 2</w:t>
      </w:r>
      <w:r w:rsidRPr="00D46B49">
        <w:rPr>
          <w:vertAlign w:val="superscript"/>
        </w:rPr>
        <w:t>e</w:t>
      </w:r>
      <w:r w:rsidRPr="00D46B49">
        <w:t xml:space="preserve"> civ., 10 décembre 2009, n° 08-20539).</w:t>
      </w:r>
    </w:p>
    <w:p w14:paraId="38A8587C" w14:textId="77777777" w:rsidR="00512D0A" w:rsidRDefault="00512D0A" w:rsidP="00D46B49">
      <w:pPr>
        <w:jc w:val="both"/>
      </w:pPr>
    </w:p>
    <w:p w14:paraId="2D5753B5" w14:textId="77777777" w:rsidR="00512D0A" w:rsidRDefault="00D46B49" w:rsidP="00D46B49">
      <w:pPr>
        <w:jc w:val="both"/>
      </w:pPr>
      <w:r w:rsidRPr="00D46B49">
        <w:lastRenderedPageBreak/>
        <w:t xml:space="preserve">A l’évidence, la cour </w:t>
      </w:r>
      <w:proofErr w:type="gramStart"/>
      <w:r w:rsidRPr="00D46B49">
        <w:t>d’appel  de</w:t>
      </w:r>
      <w:proofErr w:type="gramEnd"/>
      <w:r w:rsidRPr="00D46B49">
        <w:t xml:space="preserve"> Besançon a fait une exacte application</w:t>
      </w:r>
      <w:r w:rsidR="00512D0A">
        <w:t xml:space="preserve"> de ces principes en retenant :</w:t>
      </w:r>
    </w:p>
    <w:p w14:paraId="0A33053F" w14:textId="77777777" w:rsidR="00512D0A" w:rsidRDefault="00D46B49" w:rsidP="00E97FB4">
      <w:pPr>
        <w:numPr>
          <w:ilvl w:val="0"/>
          <w:numId w:val="9"/>
        </w:numPr>
        <w:spacing w:before="0"/>
        <w:ind w:left="714" w:hanging="357"/>
        <w:jc w:val="both"/>
      </w:pPr>
      <w:r w:rsidRPr="00D46B49">
        <w:t xml:space="preserve">en premier lieu, que la CAVIMAC ne prouvait pas la tardiveté du recours de </w:t>
      </w:r>
      <w:r w:rsidR="00512D0A">
        <w:t>M</w:t>
      </w:r>
      <w:r w:rsidRPr="00D46B49">
        <w:t xml:space="preserve">onsieur Marguet faute d’apporter la preuve d’une notification de sa </w:t>
      </w:r>
      <w:proofErr w:type="gramStart"/>
      <w:r w:rsidRPr="00D46B49">
        <w:t>pension  en</w:t>
      </w:r>
      <w:proofErr w:type="gramEnd"/>
      <w:r w:rsidRPr="00D46B49">
        <w:t xml:space="preserve"> bonne et due forme et de sa d</w:t>
      </w:r>
      <w:r w:rsidR="00512D0A">
        <w:t>ate,</w:t>
      </w:r>
    </w:p>
    <w:p w14:paraId="625D0818" w14:textId="77777777" w:rsidR="00D46B49" w:rsidRPr="00D46B49" w:rsidRDefault="00D46B49" w:rsidP="00E97FB4">
      <w:pPr>
        <w:numPr>
          <w:ilvl w:val="0"/>
          <w:numId w:val="9"/>
        </w:numPr>
        <w:spacing w:before="0"/>
        <w:ind w:left="714" w:hanging="357"/>
        <w:jc w:val="both"/>
      </w:pPr>
      <w:r w:rsidRPr="00D46B49">
        <w:t>en second lieu, et en tout état de cause, que la CAVIMAC avait renoncé à se prévaloir de la prescription.</w:t>
      </w:r>
    </w:p>
    <w:p w14:paraId="260C6221" w14:textId="77777777" w:rsidR="00512D0A" w:rsidRDefault="00512D0A" w:rsidP="00512D0A">
      <w:pPr>
        <w:pStyle w:val="Titre2"/>
      </w:pPr>
      <w:bookmarkStart w:id="12" w:name="_Toc378424512"/>
      <w:r>
        <w:t>Sur les faits.</w:t>
      </w:r>
      <w:bookmarkEnd w:id="12"/>
    </w:p>
    <w:p w14:paraId="441D448F" w14:textId="77777777" w:rsidR="00D46B49" w:rsidRDefault="00C9480E" w:rsidP="00D46B49">
      <w:pPr>
        <w:jc w:val="both"/>
      </w:pPr>
      <w:r>
        <w:t xml:space="preserve">Comme l’indique Marcel </w:t>
      </w:r>
      <w:proofErr w:type="gramStart"/>
      <w:r>
        <w:t>MARGUET,  trois</w:t>
      </w:r>
      <w:proofErr w:type="gramEnd"/>
      <w:r w:rsidR="00D46B49" w:rsidRPr="00D46B49">
        <w:t xml:space="preserve"> arguments de contestation datés du 29</w:t>
      </w:r>
      <w:r w:rsidR="006D29B6">
        <w:t xml:space="preserve"> </w:t>
      </w:r>
      <w:r w:rsidR="00D46B49" w:rsidRPr="00D46B49">
        <w:t>mars 1997</w:t>
      </w:r>
      <w:r w:rsidR="006D29B6">
        <w:t xml:space="preserve"> ont été </w:t>
      </w:r>
      <w:r w:rsidR="00D46B49" w:rsidRPr="00D46B49">
        <w:t xml:space="preserve">opposés à une lettre </w:t>
      </w:r>
      <w:r w:rsidR="006D29B6">
        <w:t>CAMAVIC</w:t>
      </w:r>
      <w:r w:rsidR="00D46B49" w:rsidRPr="00D46B49">
        <w:t xml:space="preserve"> d’attribution de pension reçue le même jour</w:t>
      </w:r>
      <w:r w:rsidR="006D29B6">
        <w:t>. Ces arguments ont été</w:t>
      </w:r>
      <w:r w:rsidR="00D46B49" w:rsidRPr="00D46B49">
        <w:t xml:space="preserve"> traités administrativement </w:t>
      </w:r>
      <w:r w:rsidR="00D46B49" w:rsidRPr="00D46B49">
        <w:rPr>
          <w:b/>
        </w:rPr>
        <w:t xml:space="preserve">sauf le point 2 </w:t>
      </w:r>
      <w:r w:rsidR="006D29B6">
        <w:rPr>
          <w:b/>
        </w:rPr>
        <w:t xml:space="preserve">sur </w:t>
      </w:r>
      <w:proofErr w:type="gramStart"/>
      <w:r w:rsidR="006D29B6">
        <w:rPr>
          <w:b/>
        </w:rPr>
        <w:t>le quel</w:t>
      </w:r>
      <w:proofErr w:type="gramEnd"/>
      <w:r w:rsidR="006D29B6">
        <w:rPr>
          <w:b/>
        </w:rPr>
        <w:t xml:space="preserve"> porte le présent litige : La CAMAVIC est restée sans réponse </w:t>
      </w:r>
      <w:r w:rsidR="00D46B49" w:rsidRPr="00D46B49">
        <w:rPr>
          <w:b/>
        </w:rPr>
        <w:t>sur les trimest</w:t>
      </w:r>
      <w:r w:rsidR="006D29B6">
        <w:rPr>
          <w:b/>
        </w:rPr>
        <w:t>res non pris en compte et le directeur de la caisse n’a pas transmis ce courrier à la CRA. Le présent</w:t>
      </w:r>
      <w:r w:rsidR="00D46B49" w:rsidRPr="00D46B49">
        <w:rPr>
          <w:b/>
        </w:rPr>
        <w:t xml:space="preserve"> litige </w:t>
      </w:r>
      <w:r w:rsidR="006D29B6">
        <w:rPr>
          <w:b/>
        </w:rPr>
        <w:t>est donc en attente</w:t>
      </w:r>
      <w:r w:rsidR="00D46B49" w:rsidRPr="00D46B49">
        <w:rPr>
          <w:b/>
        </w:rPr>
        <w:t xml:space="preserve"> d’une réponse de la CRA </w:t>
      </w:r>
      <w:r w:rsidR="006D29B6">
        <w:rPr>
          <w:b/>
        </w:rPr>
        <w:t>depuis</w:t>
      </w:r>
      <w:r w:rsidR="00D46B49" w:rsidRPr="00D46B49">
        <w:rPr>
          <w:b/>
        </w:rPr>
        <w:t xml:space="preserve"> 1997</w:t>
      </w:r>
      <w:r w:rsidR="00D46B49" w:rsidRPr="00D46B49">
        <w:t> !</w:t>
      </w:r>
      <w:r>
        <w:t xml:space="preserve"> </w:t>
      </w:r>
    </w:p>
    <w:p w14:paraId="31DC011C" w14:textId="77777777" w:rsidR="00C9480E" w:rsidRPr="00C9480E" w:rsidRDefault="00C9480E" w:rsidP="00C9480E">
      <w:pPr>
        <w:rPr>
          <w:b/>
        </w:rPr>
      </w:pPr>
      <w:r w:rsidRPr="00C9480E">
        <w:rPr>
          <w:b/>
        </w:rPr>
        <w:t>Le litige est pendant depuis 1997.</w:t>
      </w:r>
    </w:p>
    <w:p w14:paraId="60235CDF" w14:textId="77777777" w:rsidR="00D46B49" w:rsidRPr="00D46B49" w:rsidRDefault="00C9480E" w:rsidP="00C9480E">
      <w:pPr>
        <w:pStyle w:val="Titre2"/>
      </w:pPr>
      <w:bookmarkStart w:id="13" w:name="_Toc378424513"/>
      <w:r>
        <w:t>Sur la procédure.</w:t>
      </w:r>
      <w:bookmarkEnd w:id="13"/>
    </w:p>
    <w:p w14:paraId="47AEBEB6" w14:textId="77777777" w:rsidR="00D46B49" w:rsidRPr="00D46B49" w:rsidRDefault="00D46B49" w:rsidP="00D46B49">
      <w:pPr>
        <w:jc w:val="both"/>
        <w:rPr>
          <w:b/>
        </w:rPr>
      </w:pPr>
      <w:r w:rsidRPr="00D46B49">
        <w:rPr>
          <w:b/>
        </w:rPr>
        <w:t xml:space="preserve">La CRA de la Cavimac </w:t>
      </w:r>
      <w:r w:rsidR="00C9480E">
        <w:rPr>
          <w:b/>
        </w:rPr>
        <w:t xml:space="preserve">et le code de sécurité sociale </w:t>
      </w:r>
      <w:r w:rsidRPr="00D46B49">
        <w:rPr>
          <w:b/>
        </w:rPr>
        <w:t>ne me ferment pas le recours en TASS puis en Cour d’appel</w:t>
      </w:r>
      <w:r w:rsidR="00C9480E">
        <w:rPr>
          <w:b/>
        </w:rPr>
        <w:t xml:space="preserve"> </w:t>
      </w:r>
    </w:p>
    <w:p w14:paraId="15D734F2" w14:textId="77777777" w:rsidR="00D46B49" w:rsidRPr="00D46B49" w:rsidRDefault="00D46B49" w:rsidP="00E97FB4">
      <w:pPr>
        <w:spacing w:before="200"/>
        <w:jc w:val="both"/>
      </w:pPr>
      <w:r w:rsidRPr="00D46B49">
        <w:t xml:space="preserve">Si la forclusion prétendue par la Cavimac ne </w:t>
      </w:r>
      <w:proofErr w:type="gramStart"/>
      <w:r w:rsidRPr="00D46B49">
        <w:t>m' autorisait</w:t>
      </w:r>
      <w:proofErr w:type="gramEnd"/>
      <w:r w:rsidRPr="00D46B49">
        <w:t xml:space="preserve"> pas à demander une révision de pension pourquoi alors la CRA, saisie le 19 Décembre 2008  a-t-elle délibéré le 11 mai 2009  sur mes demandes, en particulier la demande de reconnaissance de 4 trimestres de Noviciat ? </w:t>
      </w:r>
    </w:p>
    <w:p w14:paraId="7C16DFCF" w14:textId="77777777" w:rsidR="00D46B49" w:rsidRPr="00D46B49" w:rsidRDefault="00D46B49" w:rsidP="00E97FB4">
      <w:pPr>
        <w:spacing w:before="200"/>
        <w:jc w:val="both"/>
      </w:pPr>
      <w:r w:rsidRPr="00D46B49">
        <w:t xml:space="preserve">Pourquoi m'a-t-elle signifié son refus </w:t>
      </w:r>
      <w:r w:rsidR="00C9480E">
        <w:t xml:space="preserve">– au fond – </w:t>
      </w:r>
      <w:r w:rsidRPr="00D46B49">
        <w:t xml:space="preserve">le 11 mai </w:t>
      </w:r>
      <w:proofErr w:type="gramStart"/>
      <w:r w:rsidRPr="00D46B49">
        <w:t>2009  (</w:t>
      </w:r>
      <w:proofErr w:type="gramEnd"/>
      <w:r w:rsidRPr="00D46B49">
        <w:t>6 mois après ma lettre de saisine!) en justifiant sa décision par les articles 1.21 et 1.23 du Règlement Intérieur de la Cavimac, et non par</w:t>
      </w:r>
      <w:r w:rsidR="00C9480E">
        <w:t xml:space="preserve"> la forclusion au sens des </w:t>
      </w:r>
      <w:r w:rsidRPr="00D46B49">
        <w:t xml:space="preserve">articles R.142.1 et R.142-18 du CSS cités ? </w:t>
      </w:r>
    </w:p>
    <w:p w14:paraId="1494F55F" w14:textId="77777777" w:rsidR="00D46B49" w:rsidRPr="00D46B49" w:rsidRDefault="00D46B49" w:rsidP="00E97FB4">
      <w:pPr>
        <w:spacing w:before="200"/>
        <w:jc w:val="both"/>
      </w:pPr>
      <w:r w:rsidRPr="00D46B49">
        <w:t>Or cette notification de refus, en lettre recommandée avec avis de réception, était assortie d'une possibilité de recours devant le TASS de Besançon (lequel m’a fait droit par jugement du 31/05/</w:t>
      </w:r>
      <w:proofErr w:type="gramStart"/>
      <w:r w:rsidRPr="00D46B49">
        <w:t>2010  validant</w:t>
      </w:r>
      <w:proofErr w:type="gramEnd"/>
      <w:r w:rsidRPr="00D46B49">
        <w:t xml:space="preserve"> les trimestres litigieux ouvrant aux parties le délai d’appel appel sous un mois - art T 2142-28).</w:t>
      </w:r>
    </w:p>
    <w:p w14:paraId="31960A04" w14:textId="77777777" w:rsidR="00C9480E" w:rsidRDefault="00D46B49" w:rsidP="00E97FB4">
      <w:pPr>
        <w:spacing w:before="200"/>
        <w:jc w:val="both"/>
      </w:pPr>
      <w:r w:rsidRPr="00D46B49">
        <w:rPr>
          <w:u w:val="single"/>
        </w:rPr>
        <w:t>En l'absence d'une réponse de la CRA dans les délais impartis (Art. R.142.6 du CSS)</w:t>
      </w:r>
      <w:r w:rsidRPr="00D46B49">
        <w:t>, ce que j'ai considéré comme un refus, j'ai saisi le TASS de Besançon le 23 février 2009. Il y a lieu par ailleurs de rappeler que dans la saisine du tribunal des affaires de la sécurité sociale en février 2009, j’ai fondé ma saisine démarche sur l’article R142-6 :</w:t>
      </w:r>
      <w:r w:rsidR="00C9480E">
        <w:t xml:space="preserve"> </w:t>
      </w:r>
      <w:proofErr w:type="gramStart"/>
      <w:r w:rsidR="00C9480E">
        <w:t>« </w:t>
      </w:r>
      <w:r w:rsidRPr="00D46B49">
        <w:t xml:space="preserve"> </w:t>
      </w:r>
      <w:r w:rsidRPr="00D46B49">
        <w:rPr>
          <w:i/>
        </w:rPr>
        <w:t>...</w:t>
      </w:r>
      <w:proofErr w:type="gramEnd"/>
      <w:r w:rsidRPr="00D46B49">
        <w:rPr>
          <w:i/>
        </w:rPr>
        <w:t>Plus d’un mois s’est écoulé depuis l</w:t>
      </w:r>
      <w:r w:rsidR="00C9480E">
        <w:rPr>
          <w:i/>
        </w:rPr>
        <w:t xml:space="preserve">a réception de ce courrier par </w:t>
      </w:r>
      <w:r w:rsidRPr="00D46B49">
        <w:rPr>
          <w:i/>
        </w:rPr>
        <w:t>la C</w:t>
      </w:r>
      <w:r w:rsidR="00C9480E">
        <w:rPr>
          <w:i/>
        </w:rPr>
        <w:t xml:space="preserve">AVIMAC, </w:t>
      </w:r>
      <w:r w:rsidRPr="00D46B49">
        <w:rPr>
          <w:i/>
        </w:rPr>
        <w:t xml:space="preserve">ce qui m’autorise à  saisir votre Tribunal </w:t>
      </w:r>
      <w:r w:rsidRPr="00D46B49">
        <w:rPr>
          <w:b/>
          <w:i/>
        </w:rPr>
        <w:t>en application de l’Art R 142-6 du Code de la Sécurité</w:t>
      </w:r>
      <w:r w:rsidRPr="00D46B49">
        <w:rPr>
          <w:i/>
        </w:rPr>
        <w:t xml:space="preserve"> Sociale....</w:t>
      </w:r>
      <w:r w:rsidR="00C9480E">
        <w:rPr>
          <w:i/>
        </w:rPr>
        <w:t> »</w:t>
      </w:r>
      <w:r w:rsidRPr="00D46B49">
        <w:t xml:space="preserve"> </w:t>
      </w:r>
    </w:p>
    <w:p w14:paraId="640B0063" w14:textId="77777777" w:rsidR="00D46B49" w:rsidRPr="00D46B49" w:rsidRDefault="00D46B49" w:rsidP="00E97FB4">
      <w:pPr>
        <w:spacing w:before="200"/>
        <w:jc w:val="both"/>
      </w:pPr>
      <w:r w:rsidRPr="00D46B49">
        <w:rPr>
          <w:b/>
        </w:rPr>
        <w:t>L</w:t>
      </w:r>
      <w:r w:rsidRPr="00D46B49">
        <w:rPr>
          <w:b/>
          <w:bCs/>
        </w:rPr>
        <w:t>e moyen introduit par la Cavimac</w:t>
      </w:r>
      <w:r w:rsidRPr="00D46B49">
        <w:t xml:space="preserve"> par son pourvoi ne résiste pas ;</w:t>
      </w:r>
      <w:r w:rsidR="00C9480E">
        <w:t xml:space="preserve"> </w:t>
      </w:r>
      <w:r w:rsidRPr="00D46B49">
        <w:t>il doit être rejeté car la partie adverse veut ignorer les règles élémentaires des contentieux judiciaires en sécurité sociale</w:t>
      </w:r>
      <w:r w:rsidR="00C9480E">
        <w:t>.</w:t>
      </w:r>
    </w:p>
    <w:p w14:paraId="151AB401" w14:textId="77777777" w:rsidR="00D46B49" w:rsidRPr="00D46B49" w:rsidRDefault="00D46B49" w:rsidP="00E97FB4">
      <w:pPr>
        <w:spacing w:before="200"/>
        <w:jc w:val="both"/>
      </w:pPr>
      <w:r w:rsidRPr="00D46B49">
        <w:rPr>
          <w:u w:val="single"/>
        </w:rPr>
        <w:t>La notification de refus de la CRA de la Cavimac a donc ouvert ainsi une voie de recours</w:t>
      </w:r>
      <w:r w:rsidRPr="00D46B49">
        <w:t xml:space="preserve"> dont elle ne peut nier aujourd'hui la réalité, le T</w:t>
      </w:r>
      <w:r w:rsidR="00C9480E">
        <w:t>ASS</w:t>
      </w:r>
      <w:r w:rsidRPr="00D46B49">
        <w:t xml:space="preserve"> de Rennes l'ayant souligné dans une procédure récente   :</w:t>
      </w:r>
      <w:r w:rsidRPr="00D46B49">
        <w:rPr>
          <w:i/>
          <w:iCs/>
        </w:rPr>
        <w:t xml:space="preserve">« Ayant rendu une décision faisant suite au recours amiable formé par Monsieur Jean-Pierre MOUTON tendant à la validation des périodes litigieuses pour  le calcul de ses droits à retraite, et lui ayant expressément ouvert une voie de recours contentieuse devant la </w:t>
      </w:r>
      <w:r w:rsidRPr="00D46B49">
        <w:rPr>
          <w:i/>
          <w:iCs/>
        </w:rPr>
        <w:lastRenderedPageBreak/>
        <w:t xml:space="preserve">juridiction de sécurité sociale , la CAVIMAC a nécessairement renoncé à se prévaloir de l’irrecevabilité éventuelle de son droit d'action. » </w:t>
      </w:r>
      <w:r w:rsidRPr="00D46B49">
        <w:t xml:space="preserve">TASS de Rennes – 30 septembre 2011. </w:t>
      </w:r>
    </w:p>
    <w:p w14:paraId="3C783C44" w14:textId="77777777" w:rsidR="00D46B49" w:rsidRPr="00D46B49" w:rsidRDefault="00D46B49" w:rsidP="00E97FB4">
      <w:pPr>
        <w:spacing w:before="200"/>
        <w:jc w:val="both"/>
      </w:pPr>
      <w:r w:rsidRPr="00D46B49">
        <w:t xml:space="preserve">Par ailleurs dans </w:t>
      </w:r>
      <w:proofErr w:type="gramStart"/>
      <w:r w:rsidRPr="00D46B49">
        <w:t>l’arrêt  du</w:t>
      </w:r>
      <w:proofErr w:type="gramEnd"/>
      <w:r w:rsidRPr="00D46B49">
        <w:t xml:space="preserve"> 27/05/2011 établi par la même cour d’appel  accordant le sursis à statuer à l’affaire Marguet, jusqu’à remise au rôle le 10/04/</w:t>
      </w:r>
      <w:r w:rsidR="00C9480E">
        <w:t>2012</w:t>
      </w:r>
      <w:r w:rsidRPr="00D46B49">
        <w:t>,</w:t>
      </w:r>
      <w:r w:rsidR="00C9480E">
        <w:t xml:space="preserve"> </w:t>
      </w:r>
      <w:r w:rsidRPr="00D46B49">
        <w:t>la partie adverse n’oppose ni la forclusion n</w:t>
      </w:r>
      <w:r w:rsidR="00C9480E">
        <w:t>i l’intangibilité préalablement</w:t>
      </w:r>
      <w:r w:rsidRPr="00D46B49">
        <w:t xml:space="preserve"> à cette décision</w:t>
      </w:r>
      <w:r w:rsidR="00C9480E">
        <w:t>.</w:t>
      </w:r>
    </w:p>
    <w:p w14:paraId="6BACD57E" w14:textId="77777777" w:rsidR="00C9480E" w:rsidRDefault="00C9480E" w:rsidP="00E97FB4">
      <w:pPr>
        <w:pStyle w:val="Titre2"/>
        <w:spacing w:before="200"/>
      </w:pPr>
      <w:bookmarkStart w:id="14" w:name="_Toc378424514"/>
      <w:r>
        <w:t>Sur la possibilité de révision d’une pension.</w:t>
      </w:r>
      <w:bookmarkEnd w:id="14"/>
    </w:p>
    <w:p w14:paraId="608725FA" w14:textId="77777777" w:rsidR="00C9480E" w:rsidRDefault="00D46B49" w:rsidP="00E97FB4">
      <w:pPr>
        <w:spacing w:before="200"/>
        <w:jc w:val="both"/>
        <w:rPr>
          <w:b/>
        </w:rPr>
      </w:pPr>
      <w:r w:rsidRPr="00D46B49">
        <w:rPr>
          <w:b/>
        </w:rPr>
        <w:t>Le règlement intérieur de la Caisse des cultes admet la possibilité de révision.</w:t>
      </w:r>
    </w:p>
    <w:p w14:paraId="3BC8D48B" w14:textId="77777777" w:rsidR="00D46B49" w:rsidRPr="00C9480E" w:rsidRDefault="00D46B49" w:rsidP="00E97FB4">
      <w:pPr>
        <w:spacing w:before="200"/>
        <w:jc w:val="both"/>
        <w:rPr>
          <w:b/>
        </w:rPr>
      </w:pPr>
      <w:r w:rsidRPr="00D46B49">
        <w:t xml:space="preserve">Le feu règlement intérieur </w:t>
      </w:r>
      <w:proofErr w:type="spellStart"/>
      <w:r w:rsidRPr="00D46B49">
        <w:t>se</w:t>
      </w:r>
      <w:proofErr w:type="spellEnd"/>
      <w:r w:rsidRPr="00D46B49">
        <w:t xml:space="preserve"> 1989 de la Caisse, (bien qu’entaché d’illégalité suivant l’arrêt du Conseil d’état de 2011) admet une révision de la pension : « </w:t>
      </w:r>
      <w:r w:rsidRPr="00D46B49">
        <w:rPr>
          <w:i/>
        </w:rPr>
        <w:t>En cas de révision du calcul de la pension, l’assuré est également informé des modifications apportées et des raisons ayant entraîné cette révision, par une notification de révision de pension.(Art. 1.44) Les dossiers dont la date d’effet est antérieure au 1</w:t>
      </w:r>
      <w:r w:rsidRPr="00D46B49">
        <w:rPr>
          <w:i/>
          <w:vertAlign w:val="superscript"/>
        </w:rPr>
        <w:t>er</w:t>
      </w:r>
      <w:r w:rsidRPr="00D46B49">
        <w:rPr>
          <w:i/>
        </w:rPr>
        <w:t xml:space="preserve"> janvier 1979 ne peuvent faire l’objet d’une révision sauf lorsque la Camavic est informée d’un élément nouveau non pris en compte lors de la liquidation de cette pension.… (Art. 1.45).</w:t>
      </w:r>
    </w:p>
    <w:p w14:paraId="228EA17A" w14:textId="77777777" w:rsidR="00D46B49" w:rsidRPr="00D46B49" w:rsidRDefault="00EE06C9" w:rsidP="00E97FB4">
      <w:pPr>
        <w:spacing w:before="200"/>
        <w:jc w:val="both"/>
      </w:pPr>
      <w:r>
        <w:t>Ledit</w:t>
      </w:r>
      <w:r w:rsidR="00D46B49" w:rsidRPr="00D46B49">
        <w:t xml:space="preserve"> règlement de la Caisse des cultes lui-même reconnaît la possibilité de révision de la pension de retraite. De plus les récentes décisions du Conseil d’État et de la Cour de cassation constituent bien un élément nouveau motivant la révision d’une erreur de droit fautive dès l’origine.</w:t>
      </w:r>
    </w:p>
    <w:p w14:paraId="54D59C03" w14:textId="77777777" w:rsidR="00D46B49" w:rsidRPr="00D46B49" w:rsidRDefault="00D46B49" w:rsidP="00E97FB4">
      <w:pPr>
        <w:spacing w:before="200"/>
        <w:jc w:val="both"/>
        <w:rPr>
          <w:i/>
        </w:rPr>
      </w:pPr>
      <w:r w:rsidRPr="00D46B49">
        <w:t>De même</w:t>
      </w:r>
      <w:r w:rsidR="00EE06C9">
        <w:t>,</w:t>
      </w:r>
      <w:r w:rsidRPr="00D46B49">
        <w:t xml:space="preserve"> le Conseil constitutionnel dans une jurisprudence constante, considère que le principe d’intangibilité des droits liquidés n’est pas un principe constitutionnel (DC 94-348 du 3 août 1994 </w:t>
      </w:r>
      <w:r w:rsidRPr="00D46B49">
        <w:rPr>
          <w:i/>
        </w:rPr>
        <w:t xml:space="preserve">« aucune règle ni aucun principe constitutionnel ne garantit l’intangibilité des droits à retraite liquidée ») </w:t>
      </w:r>
      <w:r w:rsidRPr="00D46B49">
        <w:t>et ne revêt qu’un caractère législatif.  Ce principe peut faire l’objet d’aménagements particuliers, notamment dans le cas où un régime procède à une révision des droits liquidés lorsqu’il dispose d’informations ou d’éléments nouveaux (éléments complémentaires fournis par l’assuré, informations transmises par un autre régime…) sur la carrière des assurés et intervenant postérieurement à la liquidation</w:t>
      </w:r>
      <w:r w:rsidRPr="00D46B49">
        <w:rPr>
          <w:u w:val="single"/>
        </w:rPr>
        <w:t>.</w:t>
      </w:r>
      <w:r w:rsidRPr="00D46B49">
        <w:t xml:space="preserve"> » </w:t>
      </w:r>
      <w:r w:rsidRPr="00D46B49">
        <w:rPr>
          <w:i/>
        </w:rPr>
        <w:t>(COR Séance plénière du 16 décembre 2009)</w:t>
      </w:r>
    </w:p>
    <w:p w14:paraId="21CEFF00" w14:textId="77777777" w:rsidR="00D46B49" w:rsidRPr="00D46B49" w:rsidRDefault="00D46B49" w:rsidP="00E97FB4">
      <w:pPr>
        <w:spacing w:before="200"/>
        <w:jc w:val="both"/>
        <w:rPr>
          <w:u w:val="single"/>
        </w:rPr>
      </w:pPr>
      <w:r w:rsidRPr="00D46B49">
        <w:t xml:space="preserve">Selon le COR également, les 2 </w:t>
      </w:r>
      <w:proofErr w:type="gramStart"/>
      <w:r w:rsidRPr="00D46B49">
        <w:t>grands  principes</w:t>
      </w:r>
      <w:proofErr w:type="gramEnd"/>
      <w:r w:rsidRPr="00D46B49">
        <w:t xml:space="preserve"> législatifs sur lesquels est fondée la Sécurité sociale : le principe de </w:t>
      </w:r>
      <w:r w:rsidRPr="00D46B49">
        <w:rPr>
          <w:i/>
        </w:rPr>
        <w:t>solidarité nationale</w:t>
      </w:r>
      <w:r w:rsidRPr="00D46B49">
        <w:t xml:space="preserve"> et le principe de </w:t>
      </w:r>
      <w:r w:rsidRPr="00D46B49">
        <w:rPr>
          <w:i/>
        </w:rPr>
        <w:t xml:space="preserve">répartition </w:t>
      </w:r>
      <w:r w:rsidR="00EE06C9">
        <w:t xml:space="preserve">ne peuvent être modifiés par </w:t>
      </w:r>
      <w:r w:rsidRPr="00D46B49">
        <w:t>voie législative que s’ils ne portent pas atteinte aux principes de valeur constitutionnelle</w:t>
      </w:r>
      <w:r w:rsidRPr="00D46B49">
        <w:rPr>
          <w:u w:val="single"/>
        </w:rPr>
        <w:t>.</w:t>
      </w:r>
    </w:p>
    <w:p w14:paraId="1D1969A9" w14:textId="77777777" w:rsidR="00D46B49" w:rsidRPr="00D46B49" w:rsidRDefault="00D46B49" w:rsidP="00EE06C9">
      <w:pPr>
        <w:pStyle w:val="Titre2"/>
      </w:pPr>
      <w:bookmarkStart w:id="15" w:name="_Toc378424515"/>
      <w:r w:rsidRPr="00D46B49">
        <w:t>Sur les conditions de notification</w:t>
      </w:r>
      <w:r w:rsidR="00EE06C9">
        <w:t>.</w:t>
      </w:r>
      <w:bookmarkEnd w:id="15"/>
      <w:r w:rsidRPr="00D46B49">
        <w:t xml:space="preserve"> </w:t>
      </w:r>
    </w:p>
    <w:p w14:paraId="72F736E2" w14:textId="77777777" w:rsidR="00D46B49" w:rsidRPr="00D46B49" w:rsidRDefault="00D46B49" w:rsidP="00C9480E">
      <w:pPr>
        <w:spacing w:before="240"/>
        <w:jc w:val="both"/>
      </w:pPr>
      <w:r w:rsidRPr="00D46B49">
        <w:t xml:space="preserve">La notification se définit </w:t>
      </w:r>
      <w:r w:rsidRPr="00D46B49">
        <w:rPr>
          <w:i/>
        </w:rPr>
        <w:t>« formalité par laquelle on tient officiellement une personne, informée du contenu d'un acte à laquelle elle n’a pas été partie</w:t>
      </w:r>
      <w:r w:rsidR="00EE06C9">
        <w:rPr>
          <w:i/>
        </w:rPr>
        <w:t>…</w:t>
      </w:r>
      <w:r w:rsidRPr="00D46B49">
        <w:rPr>
          <w:i/>
        </w:rPr>
        <w:t xml:space="preserve"> »</w:t>
      </w:r>
      <w:r w:rsidR="00EE06C9">
        <w:rPr>
          <w:i/>
        </w:rPr>
        <w:t>.</w:t>
      </w:r>
      <w:r w:rsidRPr="00D46B49">
        <w:t xml:space="preserve"> L’article 675 du CPC fait obligation de signifier </w:t>
      </w:r>
      <w:proofErr w:type="gramStart"/>
      <w:r w:rsidRPr="00D46B49">
        <w:t>une  notification</w:t>
      </w:r>
      <w:proofErr w:type="gramEnd"/>
      <w:r w:rsidRPr="00D46B49">
        <w:t xml:space="preserve"> par une lettre recommandée avec demande d’avis de réception. Cet article 675 doit être observé à peine de nullité (article 693 du CPC)</w:t>
      </w:r>
      <w:r w:rsidR="00EE06C9">
        <w:t>.</w:t>
      </w:r>
    </w:p>
    <w:p w14:paraId="110168AD" w14:textId="77777777" w:rsidR="00D46B49" w:rsidRPr="00D46B49" w:rsidRDefault="00D46B49" w:rsidP="00C9480E">
      <w:pPr>
        <w:spacing w:before="240"/>
        <w:jc w:val="both"/>
      </w:pPr>
      <w:r w:rsidRPr="00D46B49">
        <w:t xml:space="preserve">Si cette formalité « </w:t>
      </w:r>
      <w:r w:rsidRPr="00D46B49">
        <w:rPr>
          <w:i/>
        </w:rPr>
        <w:t>fait courir des délais de recours</w:t>
      </w:r>
      <w:r w:rsidRPr="00D46B49">
        <w:t xml:space="preserve"> » elle doit comporter la signature de la personne concernée comme point de départ du délai de contestation parce que </w:t>
      </w:r>
      <w:r w:rsidRPr="00D46B49">
        <w:rPr>
          <w:i/>
          <w:iCs/>
        </w:rPr>
        <w:t>la notification, même sans réserve, n’emporte pas acquiescement. (art.681 du CPC)</w:t>
      </w:r>
      <w:r w:rsidRPr="00D46B49">
        <w:t xml:space="preserve"> </w:t>
      </w:r>
    </w:p>
    <w:p w14:paraId="7E196FF6" w14:textId="77777777" w:rsidR="0074022F" w:rsidRDefault="0074022F" w:rsidP="00C9480E">
      <w:pPr>
        <w:spacing w:before="240"/>
        <w:jc w:val="both"/>
      </w:pPr>
      <w:r>
        <w:t xml:space="preserve">L’arrêt relève (p. 5 al. 6) que la Cavimac </w:t>
      </w:r>
      <w:r w:rsidRPr="00D46B49">
        <w:t xml:space="preserve">ne parvient pas </w:t>
      </w:r>
      <w:proofErr w:type="gramStart"/>
      <w:r w:rsidRPr="00D46B49">
        <w:t>à  apporter</w:t>
      </w:r>
      <w:proofErr w:type="gramEnd"/>
      <w:r w:rsidRPr="00D46B49">
        <w:t xml:space="preserve"> la preuve que </w:t>
      </w:r>
      <w:r>
        <w:t>M</w:t>
      </w:r>
      <w:r w:rsidRPr="00D46B49">
        <w:t xml:space="preserve">. Marguet aurait </w:t>
      </w:r>
      <w:r>
        <w:t>reçu</w:t>
      </w:r>
      <w:r w:rsidRPr="00D46B49">
        <w:t xml:space="preserve"> cette notification</w:t>
      </w:r>
      <w:r>
        <w:t xml:space="preserve"> – </w:t>
      </w:r>
      <w:r w:rsidRPr="00D46B49">
        <w:t xml:space="preserve">introuvable </w:t>
      </w:r>
      <w:r>
        <w:t>par les</w:t>
      </w:r>
      <w:r w:rsidRPr="00D46B49">
        <w:t xml:space="preserve"> 2 parties, le versement de pension ne prouvant pas </w:t>
      </w:r>
      <w:r>
        <w:t>réception</w:t>
      </w:r>
    </w:p>
    <w:p w14:paraId="30E93CA2" w14:textId="77777777" w:rsidR="0074022F" w:rsidRPr="0074022F" w:rsidRDefault="0074022F" w:rsidP="00C9480E">
      <w:pPr>
        <w:spacing w:before="240"/>
        <w:jc w:val="both"/>
        <w:rPr>
          <w:b/>
        </w:rPr>
      </w:pPr>
      <w:r w:rsidRPr="0074022F">
        <w:rPr>
          <w:b/>
        </w:rPr>
        <w:lastRenderedPageBreak/>
        <w:t>D</w:t>
      </w:r>
      <w:r w:rsidR="00D46B49" w:rsidRPr="0074022F">
        <w:rPr>
          <w:b/>
        </w:rPr>
        <w:t>’après m</w:t>
      </w:r>
      <w:r w:rsidRPr="0074022F">
        <w:rPr>
          <w:b/>
        </w:rPr>
        <w:t>é</w:t>
      </w:r>
      <w:r w:rsidR="00D46B49" w:rsidRPr="0074022F">
        <w:rPr>
          <w:b/>
        </w:rPr>
        <w:t xml:space="preserve">moire </w:t>
      </w:r>
      <w:r w:rsidRPr="0074022F">
        <w:rPr>
          <w:b/>
        </w:rPr>
        <w:t>en défense de Me Gatineau pour G.</w:t>
      </w:r>
      <w:r w:rsidR="00D46B49" w:rsidRPr="0074022F">
        <w:rPr>
          <w:b/>
        </w:rPr>
        <w:t xml:space="preserve"> Barthoulot :</w:t>
      </w:r>
      <w:r w:rsidRPr="0074022F">
        <w:rPr>
          <w:b/>
        </w:rPr>
        <w:t xml:space="preserve"> </w:t>
      </w:r>
    </w:p>
    <w:p w14:paraId="7EC7EDE3" w14:textId="77777777" w:rsidR="00D46B49" w:rsidRPr="00D46B49" w:rsidRDefault="00D46B49" w:rsidP="00E97FB4">
      <w:pPr>
        <w:spacing w:before="200"/>
        <w:jc w:val="both"/>
      </w:pPr>
      <w:r w:rsidRPr="00D46B49">
        <w:t>Dans l’intérêt des débats, il sera rappelé que le délai de forclusion prévu par l’article R. 142-1 du Code de la sécurité sociale ne court que de la date à laquelle l'assuré a eu connaissance de la décision et a été informé de ce délai de recours et de ses modalités d'exercice (</w:t>
      </w:r>
      <w:proofErr w:type="spellStart"/>
      <w:r w:rsidRPr="00D46B49">
        <w:t>Civ</w:t>
      </w:r>
      <w:proofErr w:type="spellEnd"/>
      <w:r w:rsidRPr="00D46B49">
        <w:t>. 2, 3 mars 2011, pourvoi n° 09-70.315).</w:t>
      </w:r>
    </w:p>
    <w:p w14:paraId="56FE11E7" w14:textId="77777777" w:rsidR="00D46B49" w:rsidRPr="00D46B49" w:rsidRDefault="00D46B49" w:rsidP="00E97FB4">
      <w:pPr>
        <w:spacing w:before="200"/>
        <w:jc w:val="both"/>
      </w:pPr>
      <w:r w:rsidRPr="00D46B49">
        <w:t xml:space="preserve">Or, il appartient à celui qui soutient qu'un recours est tardif d'apporter la preuve de l'inobservation des délais dans lesquels ce recours doit être exercé (Soc., 2 févr. 1995, JCP E 1995, pan. </w:t>
      </w:r>
      <w:proofErr w:type="spellStart"/>
      <w:r w:rsidRPr="00D46B49">
        <w:t>jurispr</w:t>
      </w:r>
      <w:proofErr w:type="spellEnd"/>
      <w:r w:rsidRPr="00D46B49">
        <w:t>. p. 440).</w:t>
      </w:r>
    </w:p>
    <w:p w14:paraId="6C01AF3F" w14:textId="77777777" w:rsidR="00D46B49" w:rsidRPr="00E97FB4" w:rsidRDefault="00D46B49" w:rsidP="00E97FB4">
      <w:pPr>
        <w:spacing w:before="200"/>
        <w:jc w:val="both"/>
        <w:rPr>
          <w:spacing w:val="-6"/>
        </w:rPr>
      </w:pPr>
      <w:r w:rsidRPr="00D46B49">
        <w:t>En effet, selon la Cour de cassation, "</w:t>
      </w:r>
      <w:r w:rsidRPr="00D46B49">
        <w:rPr>
          <w:i/>
        </w:rPr>
        <w:t xml:space="preserve">la décision prise, préalablement à la saisine de la commission de recours amiable, par un organisme de sécurité sociale, n'étant pas de nature contentieuse, il en résulte que les règles du Code de procédure civile ne s'appliquent pas au mode de notification de cette décision ; </w:t>
      </w:r>
      <w:r w:rsidRPr="00D46B49">
        <w:rPr>
          <w:i/>
          <w:u w:val="single"/>
        </w:rPr>
        <w:t>il appartient [dès lors] à la Caisse d'établir par tous moyens la date à laquelle l'intéressé en a été informé</w:t>
      </w:r>
      <w:r w:rsidRPr="00D46B49">
        <w:t xml:space="preserve">" </w:t>
      </w:r>
      <w:r w:rsidRPr="00E97FB4">
        <w:rPr>
          <w:spacing w:val="-6"/>
        </w:rPr>
        <w:t xml:space="preserve">(Cass. avis, 21 janv. 2002 : Bull. civ. 2002, avis n° 2 ; TPS 2002, </w:t>
      </w:r>
      <w:proofErr w:type="spellStart"/>
      <w:r w:rsidRPr="00E97FB4">
        <w:rPr>
          <w:spacing w:val="-6"/>
        </w:rPr>
        <w:t>comm</w:t>
      </w:r>
      <w:proofErr w:type="spellEnd"/>
      <w:r w:rsidRPr="00E97FB4">
        <w:rPr>
          <w:spacing w:val="-6"/>
        </w:rPr>
        <w:t xml:space="preserve">. 91, p. 17 ; Procédures 2002, </w:t>
      </w:r>
      <w:proofErr w:type="spellStart"/>
      <w:r w:rsidRPr="00E97FB4">
        <w:rPr>
          <w:spacing w:val="-6"/>
        </w:rPr>
        <w:t>comm</w:t>
      </w:r>
      <w:proofErr w:type="spellEnd"/>
      <w:r w:rsidRPr="00E97FB4">
        <w:rPr>
          <w:spacing w:val="-6"/>
        </w:rPr>
        <w:t xml:space="preserve">. 165, obs. H. Croze. – S. Petit, </w:t>
      </w:r>
      <w:r w:rsidRPr="00E97FB4">
        <w:rPr>
          <w:i/>
          <w:spacing w:val="-6"/>
        </w:rPr>
        <w:t>Décisions des organismes de sécurité sociale, Forme de la notification</w:t>
      </w:r>
      <w:r w:rsidRPr="00E97FB4">
        <w:rPr>
          <w:spacing w:val="-6"/>
        </w:rPr>
        <w:t> : RJS 2002, p. 212).</w:t>
      </w:r>
    </w:p>
    <w:p w14:paraId="17ACE60C" w14:textId="77777777" w:rsidR="00D46B49" w:rsidRPr="00D46B49" w:rsidRDefault="00D46B49" w:rsidP="00E97FB4">
      <w:pPr>
        <w:spacing w:before="200"/>
        <w:jc w:val="both"/>
      </w:pPr>
      <w:r w:rsidRPr="00D46B49">
        <w:t>Si l’organisme ne fait que produire une lettre, il ne prouve aucunement la date à laquelle cette lettre a été effectivement expédiée ni celle à laquelle elle a été effectivement réceptionnée. Il n’est dès lors pas possible d’assimiler une notification faisant utilement courir le délai de saisine de la commission à la simple perception de la retraite fixée par la caisse. Percevoir la pension est une chose.  Il s’agit d’un fait : un encaissement résultant d’un paiement.</w:t>
      </w:r>
    </w:p>
    <w:p w14:paraId="5F020C09" w14:textId="77777777" w:rsidR="00D46B49" w:rsidRPr="00D46B49" w:rsidRDefault="00D46B49" w:rsidP="00E97FB4">
      <w:pPr>
        <w:spacing w:before="200"/>
        <w:jc w:val="both"/>
      </w:pPr>
      <w:r w:rsidRPr="00D46B49">
        <w:t xml:space="preserve">Etre destinataire d’une lettre de notification en est une </w:t>
      </w:r>
      <w:proofErr w:type="gramStart"/>
      <w:r w:rsidRPr="00D46B49">
        <w:t>toute</w:t>
      </w:r>
      <w:proofErr w:type="gramEnd"/>
      <w:r w:rsidRPr="00D46B49">
        <w:t xml:space="preserve"> autre. Ce d’autant plus qu’un simple paiement ne peut que difficilement s’accompagner d’une information écrite et précise sur les recours et leurs conditions d’exercice.</w:t>
      </w:r>
    </w:p>
    <w:p w14:paraId="6C949F84" w14:textId="77777777" w:rsidR="00D46B49" w:rsidRPr="00D46B49" w:rsidRDefault="00D46B49" w:rsidP="00E97FB4">
      <w:pPr>
        <w:spacing w:before="200"/>
        <w:jc w:val="both"/>
      </w:pPr>
      <w:r w:rsidRPr="00D46B49">
        <w:t>En l’espèce, une mention d’attribution de pension de retraite sur un courrier de l’assuré en date du 29</w:t>
      </w:r>
      <w:r w:rsidR="0074022F">
        <w:t xml:space="preserve"> </w:t>
      </w:r>
      <w:r w:rsidRPr="00D46B49">
        <w:t xml:space="preserve">mars </w:t>
      </w:r>
      <w:proofErr w:type="gramStart"/>
      <w:r w:rsidRPr="00D46B49">
        <w:t>1997  ne</w:t>
      </w:r>
      <w:proofErr w:type="gramEnd"/>
      <w:r w:rsidRPr="00D46B49">
        <w:t xml:space="preserve"> dit pas la forme d’envoi de l’information, ni les modalités de sa réception ni l’existence </w:t>
      </w:r>
      <w:r w:rsidR="0074022F">
        <w:t>d</w:t>
      </w:r>
      <w:r w:rsidRPr="00D46B49">
        <w:t xml:space="preserve">’un accusé de réception, ni d’une signature par l’assuré. La Cour d’appel l’a constaté mais sans trouver de raison justifiant un prononcé de forclusion. Elle en a logiquement déduit que l’affaire était recevable. </w:t>
      </w:r>
    </w:p>
    <w:p w14:paraId="1CB87A86" w14:textId="77777777" w:rsidR="00D46B49" w:rsidRDefault="00D46B49" w:rsidP="00E97FB4">
      <w:pPr>
        <w:spacing w:before="200"/>
        <w:jc w:val="both"/>
      </w:pPr>
      <w:r w:rsidRPr="00D46B49">
        <w:t xml:space="preserve">De fait, cette lettre de 1997 ne fait pas preuve d’un </w:t>
      </w:r>
      <w:r w:rsidRPr="00D46B49">
        <w:rPr>
          <w:u w:val="single"/>
        </w:rPr>
        <w:t>envoi effectif</w:t>
      </w:r>
      <w:r w:rsidRPr="00D46B49">
        <w:t xml:space="preserve"> à Monsieur Marguet</w:t>
      </w:r>
      <w:r w:rsidR="0074022F">
        <w:t>.</w:t>
      </w:r>
      <w:r w:rsidRPr="00D46B49">
        <w:t xml:space="preserve"> Elle n’est pas,</w:t>
      </w:r>
      <w:r w:rsidRPr="00D46B49">
        <w:rPr>
          <w:u w:val="single"/>
        </w:rPr>
        <w:t xml:space="preserve"> de manière </w:t>
      </w:r>
      <w:proofErr w:type="gramStart"/>
      <w:r w:rsidRPr="00D46B49">
        <w:rPr>
          <w:u w:val="single"/>
        </w:rPr>
        <w:t xml:space="preserve">nécessaire, </w:t>
      </w:r>
      <w:r w:rsidRPr="00D46B49">
        <w:t xml:space="preserve"> </w:t>
      </w:r>
      <w:r w:rsidRPr="00D46B49">
        <w:rPr>
          <w:u w:val="single"/>
        </w:rPr>
        <w:t>un</w:t>
      </w:r>
      <w:proofErr w:type="gramEnd"/>
      <w:r w:rsidRPr="00D46B49">
        <w:rPr>
          <w:u w:val="single"/>
        </w:rPr>
        <w:t xml:space="preserve"> document intitulé « Notification d’attribution de pension de vieillesse » de manière nécessaire, effectivement notifié</w:t>
      </w:r>
      <w:r w:rsidRPr="00D46B49">
        <w:t xml:space="preserve">. </w:t>
      </w:r>
    </w:p>
    <w:p w14:paraId="6C412BFC" w14:textId="77777777" w:rsidR="0074022F" w:rsidRPr="0074022F" w:rsidRDefault="0074022F" w:rsidP="00E97FB4">
      <w:pPr>
        <w:spacing w:before="200"/>
        <w:jc w:val="both"/>
        <w:rPr>
          <w:b/>
        </w:rPr>
      </w:pPr>
      <w:r>
        <w:rPr>
          <w:b/>
        </w:rPr>
        <w:t>Éléments tirés des conclusions déposées devant la cour d’appel de Besançon.</w:t>
      </w:r>
    </w:p>
    <w:p w14:paraId="1B41636D" w14:textId="77777777" w:rsidR="0074022F" w:rsidRPr="0074022F" w:rsidRDefault="00D46B49" w:rsidP="00E97FB4">
      <w:pPr>
        <w:numPr>
          <w:ilvl w:val="0"/>
          <w:numId w:val="11"/>
        </w:numPr>
        <w:spacing w:before="200"/>
        <w:ind w:left="567" w:hanging="283"/>
        <w:jc w:val="both"/>
        <w:rPr>
          <w:b/>
          <w:iCs/>
          <w:lang/>
        </w:rPr>
      </w:pPr>
      <w:r w:rsidRPr="00D46B49">
        <w:rPr>
          <w:b/>
          <w:iCs/>
          <w:lang/>
        </w:rPr>
        <w:t xml:space="preserve">La Cavimac n’établit pas la date de réception de la notification. </w:t>
      </w:r>
    </w:p>
    <w:p w14:paraId="36901042" w14:textId="77777777" w:rsidR="00D46B49" w:rsidRPr="0074022F" w:rsidRDefault="00D46B49" w:rsidP="00E97FB4">
      <w:pPr>
        <w:ind w:left="567"/>
        <w:jc w:val="both"/>
        <w:rPr>
          <w:b/>
          <w:iCs/>
          <w:lang/>
        </w:rPr>
      </w:pPr>
      <w:r w:rsidRPr="00D46B49">
        <w:t>Au soutien de son affirmation la Cavimac, qui soulève la forclusion, ne produit aucune preuve</w:t>
      </w:r>
      <w:r w:rsidR="00EE06C9">
        <w:t xml:space="preserve"> certaine </w:t>
      </w:r>
      <w:r w:rsidRPr="00D46B49">
        <w:t>de notification signée. Or, il appartient à celui qui soutient qu’un recours est irrecevable comme tardif d’apporter la preuve de l’inobservation des délais dans lesquels ce recours doit être exercé (Cass. Soc. 2 février 1995 92-20061 JCP E 1995 pan. 440). Le délai de recours court à partir de la date de notification signée</w:t>
      </w:r>
      <w:proofErr w:type="gramStart"/>
      <w:r w:rsidRPr="00D46B49">
        <w:t> ;or</w:t>
      </w:r>
      <w:proofErr w:type="gramEnd"/>
      <w:r w:rsidRPr="00D46B49">
        <w:t xml:space="preserve"> cette dernière  manque…</w:t>
      </w:r>
    </w:p>
    <w:p w14:paraId="4FCC8EA4" w14:textId="77777777" w:rsidR="00D46B49" w:rsidRPr="00D46B49" w:rsidRDefault="00D46B49" w:rsidP="00E97FB4">
      <w:pPr>
        <w:numPr>
          <w:ilvl w:val="0"/>
          <w:numId w:val="11"/>
        </w:numPr>
        <w:spacing w:before="200"/>
        <w:ind w:left="567" w:hanging="283"/>
        <w:jc w:val="both"/>
        <w:rPr>
          <w:b/>
          <w:iCs/>
          <w:lang/>
        </w:rPr>
      </w:pPr>
      <w:r w:rsidRPr="00D46B49">
        <w:rPr>
          <w:b/>
          <w:iCs/>
          <w:lang/>
        </w:rPr>
        <w:t>La notification doit faire mention du délai de recours.</w:t>
      </w:r>
    </w:p>
    <w:p w14:paraId="7588FB2C" w14:textId="77777777" w:rsidR="00D46B49" w:rsidRPr="0074022F" w:rsidRDefault="00D46B49" w:rsidP="00E97FB4">
      <w:pPr>
        <w:ind w:left="567"/>
        <w:jc w:val="both"/>
      </w:pPr>
      <w:r w:rsidRPr="00D46B49">
        <w:t xml:space="preserve">L’article R 142-1 alinéa 2 du code de la sécurité stipule : </w:t>
      </w:r>
      <w:r w:rsidRPr="0074022F">
        <w:t xml:space="preserve">« la forclusion ne peut être opposée aux intéressés que si cette notification porte mention de ce délai ». </w:t>
      </w:r>
      <w:r w:rsidRPr="00D46B49">
        <w:t xml:space="preserve">Il appartient </w:t>
      </w:r>
      <w:r w:rsidRPr="00D46B49">
        <w:lastRenderedPageBreak/>
        <w:t xml:space="preserve">à la Cavimac d’apporter la preuve que ladite notification de pension portait bien mention du délai de recours. </w:t>
      </w:r>
      <w:proofErr w:type="gramStart"/>
      <w:r w:rsidRPr="00D46B49">
        <w:t>Or  cette</w:t>
      </w:r>
      <w:proofErr w:type="gramEnd"/>
      <w:r w:rsidRPr="00D46B49">
        <w:t xml:space="preserve"> mention du délai manque au procès….</w:t>
      </w:r>
    </w:p>
    <w:p w14:paraId="2318BFC5" w14:textId="77777777" w:rsidR="00D46B49" w:rsidRPr="00D46B49" w:rsidRDefault="00D46B49" w:rsidP="00E97FB4">
      <w:pPr>
        <w:numPr>
          <w:ilvl w:val="0"/>
          <w:numId w:val="11"/>
        </w:numPr>
        <w:spacing w:before="200"/>
        <w:ind w:left="567" w:hanging="283"/>
        <w:jc w:val="both"/>
        <w:rPr>
          <w:b/>
          <w:iCs/>
          <w:lang/>
        </w:rPr>
      </w:pPr>
      <w:r w:rsidRPr="00D46B49">
        <w:rPr>
          <w:b/>
          <w:iCs/>
          <w:lang/>
        </w:rPr>
        <w:t>La date de réception de la notification doit être établie.</w:t>
      </w:r>
    </w:p>
    <w:p w14:paraId="0781BAEB" w14:textId="77777777" w:rsidR="00D46B49" w:rsidRPr="00D46B49" w:rsidRDefault="00D46B49" w:rsidP="00E97FB4">
      <w:pPr>
        <w:ind w:left="567"/>
        <w:jc w:val="both"/>
      </w:pPr>
      <w:r w:rsidRPr="00D46B49">
        <w:t xml:space="preserve">Le délai de recours ne court qu’à compter de la date à laquelle l’intéressé a eu connaissance de la décision. Il appartient à la Cavimac de produire l’accusé de réception établissant la date de la réception de la notification de ma pension. </w:t>
      </w:r>
      <w:proofErr w:type="gramStart"/>
      <w:r w:rsidRPr="00D46B49">
        <w:t>Or  il</w:t>
      </w:r>
      <w:proofErr w:type="gramEnd"/>
      <w:r w:rsidRPr="00D46B49">
        <w:t xml:space="preserve"> n’est pas produit….</w:t>
      </w:r>
    </w:p>
    <w:p w14:paraId="16EC6E63" w14:textId="77777777" w:rsidR="00D46B49" w:rsidRPr="00D46B49" w:rsidRDefault="00D46B49" w:rsidP="00E97FB4">
      <w:pPr>
        <w:numPr>
          <w:ilvl w:val="0"/>
          <w:numId w:val="11"/>
        </w:numPr>
        <w:spacing w:before="200"/>
        <w:ind w:left="567" w:hanging="283"/>
        <w:jc w:val="both"/>
        <w:rPr>
          <w:b/>
          <w:iCs/>
          <w:lang/>
        </w:rPr>
      </w:pPr>
      <w:r w:rsidRPr="00D46B49">
        <w:rPr>
          <w:b/>
          <w:iCs/>
          <w:lang/>
        </w:rPr>
        <w:t>Le moyen de la Cavimac ne peut prospérer.</w:t>
      </w:r>
    </w:p>
    <w:p w14:paraId="07539B78" w14:textId="77777777" w:rsidR="00D46B49" w:rsidRPr="00D46B49" w:rsidRDefault="00D46B49" w:rsidP="00E97FB4">
      <w:pPr>
        <w:ind w:left="567"/>
        <w:jc w:val="both"/>
      </w:pPr>
      <w:r w:rsidRPr="00D46B49">
        <w:t xml:space="preserve">La charge de la preuve incombe à la Cavimac. En l’absence de ces éléments de preuve, le moyen ne peut prospérer et le délai de recours ne peut être forclos. </w:t>
      </w:r>
    </w:p>
    <w:p w14:paraId="2D7FF35B" w14:textId="77777777" w:rsidR="00D46B49" w:rsidRPr="0074022F" w:rsidRDefault="00D46B49" w:rsidP="00E97FB4">
      <w:pPr>
        <w:ind w:left="567"/>
        <w:jc w:val="both"/>
        <w:rPr>
          <w:i/>
          <w:spacing w:val="-2"/>
        </w:rPr>
      </w:pPr>
      <w:r w:rsidRPr="0074022F">
        <w:t>Le TASS de Lille</w:t>
      </w:r>
      <w:r w:rsidRPr="00D46B49">
        <w:t xml:space="preserve"> a ainsi jugé : </w:t>
      </w:r>
      <w:r w:rsidRPr="0074022F">
        <w:rPr>
          <w:i/>
          <w:spacing w:val="-2"/>
        </w:rPr>
        <w:t>« En application de l’article R 142-18 du code de la sécurité sociale, le tribunal des affaires de sécurité sociale doit être saisi, à peine de forclusion, dans délai de deux mois à compter de la notification de la décision de la commission de recours amiable. Il appartient à l’organisme d’établir la date de réception de la notification de la décision de la commission de recours amiable. En l’espèce, la Congrégation des Sœurs de l’Alliance, qui soulève la forclusion, s’abstient de produire toute pièce relative à la notification de la décision du 24 septembre 2008 et ne donne a</w:t>
      </w:r>
      <w:r w:rsidR="0074022F" w:rsidRPr="0074022F">
        <w:rPr>
          <w:i/>
          <w:spacing w:val="-2"/>
        </w:rPr>
        <w:t xml:space="preserve">ucune précision sur ce point… </w:t>
      </w:r>
      <w:r w:rsidRPr="0074022F">
        <w:rPr>
          <w:i/>
          <w:spacing w:val="-2"/>
        </w:rPr>
        <w:t>Le moyen tiré de la forclusion est donc rejeté »</w:t>
      </w:r>
    </w:p>
    <w:p w14:paraId="20A7BCB5" w14:textId="77777777" w:rsidR="00D46B49" w:rsidRPr="0074022F" w:rsidRDefault="00D46B49" w:rsidP="00E97FB4">
      <w:pPr>
        <w:ind w:left="567"/>
        <w:jc w:val="both"/>
        <w:rPr>
          <w:i/>
        </w:rPr>
      </w:pPr>
      <w:r w:rsidRPr="00D46B49">
        <w:t xml:space="preserve">De la même manière, </w:t>
      </w:r>
      <w:r w:rsidRPr="0074022F">
        <w:t>la cour d’appel de Grenoble</w:t>
      </w:r>
      <w:r w:rsidR="0074022F">
        <w:t xml:space="preserve"> </w:t>
      </w:r>
      <w:r w:rsidRPr="00D46B49">
        <w:t xml:space="preserve">conclut : </w:t>
      </w:r>
      <w:r w:rsidRPr="0074022F">
        <w:rPr>
          <w:i/>
        </w:rPr>
        <w:t xml:space="preserve">« Attendu que la Cavimac fait valoir que sa décision fixant le montant de la pension vieillesse de Michelle </w:t>
      </w:r>
      <w:proofErr w:type="spellStart"/>
      <w:r w:rsidRPr="0074022F">
        <w:rPr>
          <w:i/>
        </w:rPr>
        <w:t>Entresangle</w:t>
      </w:r>
      <w:proofErr w:type="spellEnd"/>
      <w:r w:rsidRPr="0074022F">
        <w:rPr>
          <w:i/>
        </w:rPr>
        <w:t xml:space="preserve"> n’a pas été contestée par l’intimée devant la commission de recours amiable ;</w:t>
      </w:r>
    </w:p>
    <w:p w14:paraId="5DFF2CA4" w14:textId="77777777" w:rsidR="00D46B49" w:rsidRPr="0074022F" w:rsidRDefault="00D46B49" w:rsidP="00E97FB4">
      <w:pPr>
        <w:ind w:left="567"/>
        <w:jc w:val="both"/>
        <w:rPr>
          <w:i/>
        </w:rPr>
      </w:pPr>
      <w:r w:rsidRPr="0074022F">
        <w:rPr>
          <w:i/>
        </w:rPr>
        <w:t xml:space="preserve">Mais attendu que la Cavimac ne produit pas aux débats sa décision fixant la date de liquidation des droits à pension, ni la notification de cette décision mentionnant la possibilité pour Michelle </w:t>
      </w:r>
      <w:proofErr w:type="spellStart"/>
      <w:r w:rsidRPr="0074022F">
        <w:rPr>
          <w:i/>
        </w:rPr>
        <w:t>Entresangle</w:t>
      </w:r>
      <w:proofErr w:type="spellEnd"/>
      <w:r w:rsidRPr="0074022F">
        <w:rPr>
          <w:i/>
        </w:rPr>
        <w:t xml:space="preserve"> de la contester ainsi que les modalités de </w:t>
      </w:r>
      <w:proofErr w:type="gramStart"/>
      <w:r w:rsidRPr="0074022F">
        <w:rPr>
          <w:i/>
        </w:rPr>
        <w:t>cette contestations</w:t>
      </w:r>
      <w:proofErr w:type="gramEnd"/>
      <w:r w:rsidRPr="0074022F">
        <w:rPr>
          <w:i/>
        </w:rPr>
        <w:t> ;</w:t>
      </w:r>
    </w:p>
    <w:p w14:paraId="216074F5" w14:textId="77777777" w:rsidR="00EE06C9" w:rsidRPr="0074022F" w:rsidRDefault="00D46B49" w:rsidP="00E97FB4">
      <w:pPr>
        <w:ind w:left="567"/>
        <w:jc w:val="both"/>
        <w:rPr>
          <w:i/>
        </w:rPr>
      </w:pPr>
      <w:r w:rsidRPr="0074022F">
        <w:rPr>
          <w:i/>
        </w:rPr>
        <w:t>Que le moyen tiré de l’absence de saisine de la commission de recours amiable ne peut prospérer ; »</w:t>
      </w:r>
    </w:p>
    <w:p w14:paraId="0C73ABA1" w14:textId="77777777" w:rsidR="00D46B49" w:rsidRPr="00EE06C9" w:rsidRDefault="00D46B49" w:rsidP="00E97FB4">
      <w:pPr>
        <w:ind w:left="567"/>
        <w:jc w:val="both"/>
        <w:rPr>
          <w:i/>
        </w:rPr>
      </w:pPr>
      <w:r w:rsidRPr="0074022F">
        <w:t xml:space="preserve">En conséquence mon recours a pu, à bon droit être déclaré recevable par la Cour d’appel de Besançon ; en conséquence ce moyen adverse de </w:t>
      </w:r>
      <w:r w:rsidRPr="005A3EE6">
        <w:t>Cass</w:t>
      </w:r>
      <w:r w:rsidRPr="005A3EE6">
        <w:rPr>
          <w:iCs/>
        </w:rPr>
        <w:t xml:space="preserve">ation </w:t>
      </w:r>
      <w:proofErr w:type="gramStart"/>
      <w:r w:rsidRPr="005A3EE6">
        <w:rPr>
          <w:iCs/>
        </w:rPr>
        <w:t>sera  rejeté</w:t>
      </w:r>
      <w:proofErr w:type="gramEnd"/>
      <w:r w:rsidRPr="005A3EE6">
        <w:rPr>
          <w:iCs/>
        </w:rPr>
        <w:t>.</w:t>
      </w:r>
    </w:p>
    <w:p w14:paraId="4C8C040C" w14:textId="77777777" w:rsidR="00E97FB4" w:rsidRDefault="00E97FB4" w:rsidP="00E97FB4">
      <w:pPr>
        <w:pStyle w:val="Titre2"/>
      </w:pPr>
      <w:bookmarkStart w:id="16" w:name="_Toc378424516"/>
      <w:r>
        <w:t>Autres éléments.</w:t>
      </w:r>
      <w:bookmarkEnd w:id="16"/>
    </w:p>
    <w:p w14:paraId="328421EB" w14:textId="77777777" w:rsidR="00D46B49" w:rsidRPr="00D46B49" w:rsidRDefault="00D46B49" w:rsidP="00E97FB4">
      <w:pPr>
        <w:pStyle w:val="Titre3"/>
      </w:pPr>
      <w:bookmarkStart w:id="17" w:name="_Toc378424517"/>
      <w:r w:rsidRPr="00D46B49">
        <w:t>Sur le fond</w:t>
      </w:r>
      <w:bookmarkEnd w:id="17"/>
    </w:p>
    <w:p w14:paraId="1215FAE2" w14:textId="77777777" w:rsidR="006B55A6" w:rsidRDefault="00D46B49" w:rsidP="00C9480E">
      <w:pPr>
        <w:spacing w:before="240"/>
        <w:jc w:val="both"/>
      </w:pPr>
      <w:r w:rsidRPr="00D46B49">
        <w:t xml:space="preserve">Dans </w:t>
      </w:r>
      <w:proofErr w:type="gramStart"/>
      <w:r w:rsidRPr="00D46B49">
        <w:t>les  pages</w:t>
      </w:r>
      <w:proofErr w:type="gramEnd"/>
      <w:r w:rsidRPr="00D46B49">
        <w:t xml:space="preserve"> 6 à 9 de l’arrêt</w:t>
      </w:r>
      <w:r w:rsidR="00E97FB4">
        <w:t xml:space="preserve"> contesté</w:t>
      </w:r>
      <w:r w:rsidRPr="00D46B49">
        <w:t>, le juge exploite bon escient autant  la jurisprudence et la doctrine de la Cour de cassation</w:t>
      </w:r>
      <w:r w:rsidR="00E97FB4">
        <w:t xml:space="preserve"> sur</w:t>
      </w:r>
      <w:r w:rsidRPr="00D46B49">
        <w:t xml:space="preserve"> l’exposé des faits précis, détaillés, significatif</w:t>
      </w:r>
      <w:r w:rsidR="00E97FB4">
        <w:t>s</w:t>
      </w:r>
      <w:r w:rsidRPr="00D46B49">
        <w:t xml:space="preserve"> apportés dans des attestations incontestables</w:t>
      </w:r>
      <w:r w:rsidR="00E97FB4">
        <w:t xml:space="preserve"> </w:t>
      </w:r>
      <w:r w:rsidRPr="00D46B49">
        <w:t xml:space="preserve">et il en  résume  l’ensemble </w:t>
      </w:r>
      <w:r w:rsidR="00E97FB4">
        <w:t>page 8 alinéa 4</w:t>
      </w:r>
      <w:r w:rsidRPr="00D46B49">
        <w:t> :</w:t>
      </w:r>
    </w:p>
    <w:p w14:paraId="704660A7" w14:textId="77777777" w:rsidR="00D46B49" w:rsidRPr="00D46B49" w:rsidRDefault="00E97FB4" w:rsidP="006B55A6">
      <w:pPr>
        <w:spacing w:before="240"/>
        <w:ind w:left="567"/>
        <w:jc w:val="both"/>
      </w:pPr>
      <w:r>
        <w:rPr>
          <w:i/>
        </w:rPr>
        <w:t>« </w:t>
      </w:r>
      <w:r w:rsidR="00D46B49" w:rsidRPr="00E97FB4">
        <w:rPr>
          <w:i/>
        </w:rPr>
        <w:t xml:space="preserve">M. Marguet était dans une situation équivalente à </w:t>
      </w:r>
      <w:r w:rsidR="006B55A6">
        <w:rPr>
          <w:i/>
        </w:rPr>
        <w:t>celle d’un congrégationniste ayant prononcé</w:t>
      </w:r>
      <w:r w:rsidR="00D46B49" w:rsidRPr="00E97FB4">
        <w:rPr>
          <w:i/>
        </w:rPr>
        <w:t xml:space="preserve"> ses vœux</w:t>
      </w:r>
      <w:r w:rsidR="006B55A6">
        <w:rPr>
          <w:i/>
        </w:rPr>
        <w:t>, et</w:t>
      </w:r>
      <w:r w:rsidR="00D46B49" w:rsidRPr="00E97FB4">
        <w:rPr>
          <w:i/>
        </w:rPr>
        <w:t xml:space="preserve"> il s’est </w:t>
      </w:r>
      <w:r w:rsidR="006B55A6">
        <w:rPr>
          <w:i/>
        </w:rPr>
        <w:t xml:space="preserve">durant son année de noviciat </w:t>
      </w:r>
      <w:r w:rsidR="00D46B49" w:rsidRPr="00E97FB4">
        <w:rPr>
          <w:i/>
        </w:rPr>
        <w:t xml:space="preserve">consacré </w:t>
      </w:r>
      <w:r w:rsidR="006B55A6">
        <w:rPr>
          <w:i/>
        </w:rPr>
        <w:t>à son engagement religieux</w:t>
      </w:r>
      <w:r w:rsidR="00D46B49" w:rsidRPr="00E97FB4">
        <w:rPr>
          <w:i/>
        </w:rPr>
        <w:t xml:space="preserve"> en s’obligeant à la pratique </w:t>
      </w:r>
      <w:r w:rsidR="006B55A6">
        <w:rPr>
          <w:i/>
        </w:rPr>
        <w:t xml:space="preserve">effective </w:t>
      </w:r>
      <w:r w:rsidR="00D46B49" w:rsidRPr="00E97FB4">
        <w:rPr>
          <w:i/>
        </w:rPr>
        <w:t xml:space="preserve">des </w:t>
      </w:r>
      <w:r w:rsidR="006B55A6" w:rsidRPr="00E97FB4">
        <w:rPr>
          <w:i/>
        </w:rPr>
        <w:t>v</w:t>
      </w:r>
      <w:r w:rsidR="006B55A6">
        <w:rPr>
          <w:i/>
        </w:rPr>
        <w:t>œ</w:t>
      </w:r>
      <w:r w:rsidR="006B55A6" w:rsidRPr="00E97FB4">
        <w:rPr>
          <w:i/>
        </w:rPr>
        <w:t>ux</w:t>
      </w:r>
      <w:r w:rsidR="006B55A6">
        <w:rPr>
          <w:i/>
        </w:rPr>
        <w:t xml:space="preserve"> avant leur prononcé</w:t>
      </w:r>
      <w:r w:rsidR="00D46B49" w:rsidRPr="00E97FB4">
        <w:rPr>
          <w:i/>
        </w:rPr>
        <w:t xml:space="preserve">, </w:t>
      </w:r>
      <w:r w:rsidR="006B55A6">
        <w:rPr>
          <w:i/>
        </w:rPr>
        <w:t xml:space="preserve">en </w:t>
      </w:r>
      <w:r w:rsidR="00D46B49" w:rsidRPr="00E97FB4">
        <w:rPr>
          <w:i/>
        </w:rPr>
        <w:t xml:space="preserve">participant aux activités religieuses et communautaires en contrepartie d’une prise en charge </w:t>
      </w:r>
      <w:r w:rsidRPr="00E97FB4">
        <w:rPr>
          <w:i/>
        </w:rPr>
        <w:t>d</w:t>
      </w:r>
      <w:r w:rsidR="00D46B49" w:rsidRPr="00E97FB4">
        <w:rPr>
          <w:i/>
        </w:rPr>
        <w:t xml:space="preserve">e </w:t>
      </w:r>
      <w:r w:rsidR="006B55A6">
        <w:rPr>
          <w:i/>
        </w:rPr>
        <w:t xml:space="preserve">tous </w:t>
      </w:r>
      <w:r w:rsidR="00D46B49" w:rsidRPr="00E97FB4">
        <w:rPr>
          <w:i/>
        </w:rPr>
        <w:t>ses besoins</w:t>
      </w:r>
      <w:r w:rsidR="006B55A6">
        <w:rPr>
          <w:i/>
        </w:rPr>
        <w:t> »</w:t>
      </w:r>
      <w:r w:rsidR="00D46B49" w:rsidRPr="00E97FB4">
        <w:rPr>
          <w:i/>
        </w:rPr>
        <w:t>.</w:t>
      </w:r>
    </w:p>
    <w:p w14:paraId="56F6DB7B" w14:textId="77777777" w:rsidR="006B55A6" w:rsidRDefault="006B55A6" w:rsidP="00C9480E">
      <w:pPr>
        <w:spacing w:before="240"/>
        <w:jc w:val="both"/>
      </w:pPr>
    </w:p>
    <w:p w14:paraId="574EDE6A" w14:textId="77777777" w:rsidR="00D46B49" w:rsidRPr="00D46B49" w:rsidRDefault="00D46B49" w:rsidP="007D154B">
      <w:pPr>
        <w:pStyle w:val="Titre3"/>
      </w:pPr>
      <w:bookmarkStart w:id="18" w:name="_Toc378424518"/>
      <w:r w:rsidRPr="00D46B49">
        <w:lastRenderedPageBreak/>
        <w:t xml:space="preserve">Sur </w:t>
      </w:r>
      <w:r w:rsidR="007D154B">
        <w:t>la possibilité de rachat ouverte par</w:t>
      </w:r>
      <w:r w:rsidRPr="00D46B49">
        <w:t xml:space="preserve"> l’article L 382-29-1</w:t>
      </w:r>
      <w:r w:rsidR="007D154B">
        <w:t>.</w:t>
      </w:r>
      <w:bookmarkEnd w:id="18"/>
    </w:p>
    <w:p w14:paraId="07B77575" w14:textId="77777777" w:rsidR="00493DEF" w:rsidRDefault="00493DEF" w:rsidP="00C9480E">
      <w:pPr>
        <w:spacing w:before="240"/>
        <w:jc w:val="both"/>
      </w:pPr>
      <w:r>
        <w:t>Les périodes antérieures à la création de la caisse le 1</w:t>
      </w:r>
      <w:r w:rsidRPr="00493DEF">
        <w:rPr>
          <w:vertAlign w:val="superscript"/>
        </w:rPr>
        <w:t>er</w:t>
      </w:r>
      <w:r>
        <w:t xml:space="preserve"> janvier 1979 ont été assimilées et ne peuvent donc donner lieu à rachat.</w:t>
      </w:r>
    </w:p>
    <w:p w14:paraId="2421C107" w14:textId="77777777" w:rsidR="007D154B" w:rsidRDefault="00D46B49" w:rsidP="00C9480E">
      <w:pPr>
        <w:spacing w:before="240"/>
        <w:jc w:val="both"/>
      </w:pPr>
      <w:r w:rsidRPr="00D46B49">
        <w:t xml:space="preserve">Au moment même où le Directeur de la Cavimac déposait ses </w:t>
      </w:r>
      <w:proofErr w:type="gramStart"/>
      <w:r w:rsidRPr="00D46B49">
        <w:t>conclusions  en</w:t>
      </w:r>
      <w:proofErr w:type="gramEnd"/>
      <w:r w:rsidRPr="00D46B49">
        <w:t xml:space="preserve"> cour d’appel de Douai pour  expliquer à un ancien ministre du culte sur des dizaines de pages que ce nouvel article justifiait qu’il rachète les cotisations pour la période incriminée pour la période du 15 juin 1975 au 30 juin 1979, il écrivait à un ministre du culte en exercice dans un </w:t>
      </w:r>
      <w:r w:rsidR="007D154B">
        <w:t xml:space="preserve">message internet </w:t>
      </w:r>
      <w:r w:rsidRPr="00D46B49">
        <w:t>du 20 décembre 2013 que la possibilité de rachat n’était pas ouverte pour les périodes avant le 01/01/ 1979</w:t>
      </w:r>
      <w:r w:rsidR="007D154B">
        <w:t> :</w:t>
      </w:r>
    </w:p>
    <w:p w14:paraId="3DF6F3DF" w14:textId="77777777" w:rsidR="007D154B" w:rsidRPr="007D154B" w:rsidRDefault="00D46B49" w:rsidP="007D154B">
      <w:pPr>
        <w:spacing w:before="240"/>
        <w:ind w:left="567"/>
        <w:jc w:val="both"/>
        <w:rPr>
          <w:i/>
          <w:lang w:val="en-US"/>
        </w:rPr>
      </w:pPr>
      <w:r w:rsidRPr="007D154B">
        <w:rPr>
          <w:b/>
          <w:bCs/>
          <w:i/>
          <w:lang w:val="en-US"/>
        </w:rPr>
        <w:t>From:</w:t>
      </w:r>
      <w:r w:rsidRPr="007D154B">
        <w:rPr>
          <w:i/>
          <w:lang w:val="en-US"/>
        </w:rPr>
        <w:t>  </w:t>
      </w:r>
      <w:hyperlink r:id="rId11" w:history="1">
        <w:r w:rsidRPr="007D154B">
          <w:rPr>
            <w:rStyle w:val="Lienhypertexte"/>
            <w:i/>
            <w:lang w:val="en-US"/>
          </w:rPr>
          <w:t>Jean DESSERTAINE</w:t>
        </w:r>
      </w:hyperlink>
      <w:r w:rsidRPr="007D154B">
        <w:rPr>
          <w:i/>
          <w:lang w:val="en-US"/>
        </w:rPr>
        <w:t>   </w:t>
      </w:r>
      <w:r w:rsidRPr="007D154B">
        <w:rPr>
          <w:b/>
          <w:bCs/>
          <w:i/>
          <w:lang w:val="en-US"/>
        </w:rPr>
        <w:t>To:</w:t>
      </w:r>
      <w:r w:rsidRPr="007D154B">
        <w:rPr>
          <w:i/>
          <w:lang w:val="en-US"/>
        </w:rPr>
        <w:t> </w:t>
      </w:r>
      <w:hyperlink r:id="rId12" w:history="1">
        <w:r w:rsidRPr="007D154B">
          <w:rPr>
            <w:rStyle w:val="Lienhypertexte"/>
            <w:i/>
            <w:lang w:val="en-US"/>
          </w:rPr>
          <w:t>xxxxx@laposte.net</w:t>
        </w:r>
      </w:hyperlink>
      <w:r w:rsidRPr="007D154B">
        <w:rPr>
          <w:i/>
          <w:lang w:val="en-US"/>
        </w:rPr>
        <w:t>   </w:t>
      </w:r>
      <w:r w:rsidRPr="007D154B">
        <w:rPr>
          <w:b/>
          <w:bCs/>
          <w:i/>
          <w:lang w:val="en-US"/>
        </w:rPr>
        <w:t>Sent:</w:t>
      </w:r>
      <w:r w:rsidRPr="007D154B">
        <w:rPr>
          <w:i/>
          <w:lang w:val="en-US"/>
        </w:rPr>
        <w:t xml:space="preserve"> Friday, December 20, </w:t>
      </w:r>
      <w:proofErr w:type="gramStart"/>
      <w:r w:rsidRPr="007D154B">
        <w:rPr>
          <w:i/>
          <w:lang w:val="en-US"/>
        </w:rPr>
        <w:t>2013</w:t>
      </w:r>
      <w:proofErr w:type="gramEnd"/>
      <w:r w:rsidRPr="007D154B">
        <w:rPr>
          <w:i/>
          <w:lang w:val="en-US"/>
        </w:rPr>
        <w:t xml:space="preserve"> 3:06 PM      Monsieur,</w:t>
      </w:r>
      <w:r w:rsidR="007D154B" w:rsidRPr="007D154B">
        <w:rPr>
          <w:i/>
          <w:lang w:val="en-US"/>
        </w:rPr>
        <w:t> </w:t>
      </w:r>
    </w:p>
    <w:p w14:paraId="45F6930B" w14:textId="77777777" w:rsidR="007D154B" w:rsidRDefault="00D46B49" w:rsidP="007D154B">
      <w:pPr>
        <w:spacing w:before="240"/>
        <w:ind w:left="567"/>
        <w:jc w:val="both"/>
        <w:rPr>
          <w:i/>
        </w:rPr>
      </w:pPr>
      <w:r w:rsidRPr="007D154B">
        <w:rPr>
          <w:i/>
        </w:rPr>
        <w:t>Je fais réponse à votre dernier mail relatif à la problématique de votre carrière. </w:t>
      </w:r>
    </w:p>
    <w:p w14:paraId="1F73EF74" w14:textId="77777777" w:rsidR="00D46B49" w:rsidRPr="007D154B" w:rsidRDefault="00D46B49" w:rsidP="007D154B">
      <w:pPr>
        <w:spacing w:before="240"/>
        <w:ind w:left="567"/>
        <w:jc w:val="both"/>
        <w:rPr>
          <w:i/>
        </w:rPr>
      </w:pPr>
      <w:r w:rsidRPr="007D154B">
        <w:rPr>
          <w:i/>
        </w:rPr>
        <w:t>Je suis au regret de vous dire que si effectivement les années d'études/ formation peuvent-être rachetées</w:t>
      </w:r>
      <w:r w:rsidR="007D154B">
        <w:rPr>
          <w:i/>
        </w:rPr>
        <w:t xml:space="preserve"> </w:t>
      </w:r>
      <w:r w:rsidRPr="007D154B">
        <w:rPr>
          <w:i/>
        </w:rPr>
        <w:t>; </w:t>
      </w:r>
      <w:r w:rsidRPr="007D154B">
        <w:rPr>
          <w:i/>
          <w:u w:val="single"/>
        </w:rPr>
        <w:t>cette possibilité ne peut pas être ouverte concernant les périodes exercées avant le 01/01/1979 au titre d'une retraite cultuelle.</w:t>
      </w:r>
    </w:p>
    <w:p w14:paraId="3DB6028B" w14:textId="77777777" w:rsidR="00D46B49" w:rsidRPr="00D46B49" w:rsidRDefault="00D46B49" w:rsidP="00C9480E">
      <w:pPr>
        <w:spacing w:before="240"/>
        <w:jc w:val="both"/>
        <w:rPr>
          <w:b/>
        </w:rPr>
      </w:pPr>
      <w:r w:rsidRPr="00D46B49">
        <w:rPr>
          <w:b/>
        </w:rPr>
        <w:t>Une caisse ne saurait p</w:t>
      </w:r>
      <w:r w:rsidR="007D154B">
        <w:rPr>
          <w:b/>
        </w:rPr>
        <w:t>romouvoir en justice un produit</w:t>
      </w:r>
      <w:r w:rsidRPr="00D46B49">
        <w:rPr>
          <w:b/>
        </w:rPr>
        <w:t xml:space="preserve"> impossible à obtenir ; c’est abuser les juges ! </w:t>
      </w:r>
    </w:p>
    <w:p w14:paraId="0A8C5A54" w14:textId="77777777" w:rsidR="00493DEF" w:rsidRDefault="00D46B49" w:rsidP="00493DEF">
      <w:pPr>
        <w:pStyle w:val="Titre3"/>
      </w:pPr>
      <w:bookmarkStart w:id="19" w:name="_Toc378424519"/>
      <w:r w:rsidRPr="00D46B49">
        <w:t>Sur la prescription quinquennale</w:t>
      </w:r>
      <w:bookmarkEnd w:id="19"/>
      <w:r w:rsidRPr="00D46B49">
        <w:t xml:space="preserve"> </w:t>
      </w:r>
    </w:p>
    <w:p w14:paraId="4571F519" w14:textId="77777777" w:rsidR="00D46B49" w:rsidRPr="00D46B49" w:rsidRDefault="00CE445C" w:rsidP="00C9480E">
      <w:pPr>
        <w:spacing w:before="240"/>
        <w:jc w:val="both"/>
      </w:pPr>
      <w:r>
        <w:t>A</w:t>
      </w:r>
      <w:r w:rsidR="00D46B49" w:rsidRPr="00D46B49">
        <w:t>rrêt RG 13/01.513 du 4/10/</w:t>
      </w:r>
      <w:r>
        <w:t>2013, objet du nouveau pourvoi C</w:t>
      </w:r>
      <w:r w:rsidR="00D46B49" w:rsidRPr="00D46B49">
        <w:t>avimac n° H 13</w:t>
      </w:r>
      <w:r>
        <w:t>-</w:t>
      </w:r>
      <w:r w:rsidR="00D46B49" w:rsidRPr="00D46B49">
        <w:t>27</w:t>
      </w:r>
      <w:r>
        <w:t>.</w:t>
      </w:r>
      <w:r w:rsidR="00D46B49" w:rsidRPr="00D46B49">
        <w:t>282)</w:t>
      </w:r>
    </w:p>
    <w:p w14:paraId="3FD49CD8" w14:textId="77777777" w:rsidR="00CE445C" w:rsidRDefault="00CE445C" w:rsidP="00C9480E">
      <w:pPr>
        <w:spacing w:before="240"/>
        <w:jc w:val="both"/>
      </w:pPr>
      <w:r>
        <w:t>La</w:t>
      </w:r>
      <w:r w:rsidR="00D46B49" w:rsidRPr="00D46B49">
        <w:t xml:space="preserve"> Cavimac </w:t>
      </w:r>
      <w:r>
        <w:t xml:space="preserve">a apporté un nouveau moyen </w:t>
      </w:r>
      <w:r w:rsidRPr="00CE445C">
        <w:rPr>
          <w:u w:val="single"/>
        </w:rPr>
        <w:t>après le prononcé de l’arrêt</w:t>
      </w:r>
      <w:r>
        <w:t>. Elle cherche à limiter le montant des arriérés par une prescription quinquennale.</w:t>
      </w:r>
      <w:r w:rsidR="00D46B49" w:rsidRPr="00D46B49">
        <w:t xml:space="preserve"> </w:t>
      </w:r>
    </w:p>
    <w:p w14:paraId="5A91DF5C" w14:textId="77777777" w:rsidR="00D46B49" w:rsidRPr="00D46B49" w:rsidRDefault="00CE445C" w:rsidP="00C9480E">
      <w:pPr>
        <w:spacing w:before="240"/>
        <w:jc w:val="both"/>
      </w:pPr>
      <w:r>
        <w:t xml:space="preserve">Si une telle prescription était retenue, elle aurait pour </w:t>
      </w:r>
      <w:r w:rsidR="00534521">
        <w:t xml:space="preserve">effet de </w:t>
      </w:r>
      <w:r>
        <w:t xml:space="preserve">limiter </w:t>
      </w:r>
      <w:r w:rsidR="00534521">
        <w:t xml:space="preserve">à un niveau très faible </w:t>
      </w:r>
      <w:r>
        <w:t>les arriérés dus pour Marcel Marguet.</w:t>
      </w:r>
      <w:r w:rsidR="00D46B49" w:rsidRPr="00D46B49">
        <w:t xml:space="preserve"> Le même effet toucherait sans doute beaucoup d'autres dossiers en cours ou à venir. </w:t>
      </w:r>
    </w:p>
    <w:p w14:paraId="2932C4E9" w14:textId="77777777" w:rsidR="00D46B49" w:rsidRPr="00D46B49" w:rsidRDefault="00D46B49" w:rsidP="00D46B49">
      <w:pPr>
        <w:jc w:val="both"/>
      </w:pPr>
    </w:p>
    <w:p w14:paraId="1BB8D51F" w14:textId="77777777" w:rsidR="00D46B49" w:rsidRPr="00D46B49" w:rsidRDefault="00D46B49" w:rsidP="00D46B49">
      <w:pPr>
        <w:jc w:val="both"/>
      </w:pPr>
    </w:p>
    <w:p w14:paraId="1CD4BBC3" w14:textId="77777777" w:rsidR="00D46B49" w:rsidRPr="00D46B49" w:rsidRDefault="00D46B49" w:rsidP="00D46B49">
      <w:pPr>
        <w:jc w:val="both"/>
      </w:pPr>
    </w:p>
    <w:p w14:paraId="2833F5D8" w14:textId="77777777" w:rsidR="00D46B49" w:rsidRPr="00D46B49" w:rsidRDefault="00D46B49" w:rsidP="00D46B49">
      <w:pPr>
        <w:jc w:val="both"/>
      </w:pPr>
    </w:p>
    <w:p w14:paraId="6C6B1650" w14:textId="77777777" w:rsidR="00D46B49" w:rsidRPr="00D46B49" w:rsidRDefault="00D46B49" w:rsidP="00D46B49">
      <w:pPr>
        <w:jc w:val="both"/>
      </w:pPr>
    </w:p>
    <w:p w14:paraId="6343F9C4" w14:textId="77777777" w:rsidR="009A54B6" w:rsidRDefault="009A54B6" w:rsidP="000876DD">
      <w:pPr>
        <w:jc w:val="both"/>
      </w:pPr>
    </w:p>
    <w:p w14:paraId="41D1B409" w14:textId="77777777" w:rsidR="009A54B6" w:rsidRPr="003A7685" w:rsidRDefault="009A54B6" w:rsidP="000876DD">
      <w:pPr>
        <w:jc w:val="both"/>
      </w:pPr>
    </w:p>
    <w:p w14:paraId="24F4A353" w14:textId="77777777" w:rsidR="00614C79" w:rsidRPr="00614C79" w:rsidRDefault="00614C79" w:rsidP="00614C79"/>
    <w:sectPr w:rsidR="00614C79" w:rsidRPr="00614C7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58B3" w14:textId="77777777" w:rsidR="00BB6A4D" w:rsidRDefault="00BB6A4D" w:rsidP="00D46B49">
      <w:pPr>
        <w:spacing w:before="0"/>
      </w:pPr>
      <w:r>
        <w:separator/>
      </w:r>
    </w:p>
  </w:endnote>
  <w:endnote w:type="continuationSeparator" w:id="0">
    <w:p w14:paraId="7795F6FE" w14:textId="77777777" w:rsidR="00BB6A4D" w:rsidRDefault="00BB6A4D" w:rsidP="00D46B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D227" w14:textId="77777777" w:rsidR="007D154B" w:rsidRDefault="007D154B" w:rsidP="00EE06C9">
    <w:pPr>
      <w:pStyle w:val="Pieddepage"/>
      <w:tabs>
        <w:tab w:val="clear" w:pos="4536"/>
      </w:tabs>
    </w:pPr>
    <w:r>
      <w:rPr>
        <w:noProof/>
      </w:rPr>
      <w:pict w14:anchorId="3BF6DFF7">
        <v:group id="Groupe 441" o:spid="_x0000_s2051" style="position:absolute;margin-left:68.55pt;margin-top:784.5pt;width:456.05pt;height:63.55pt;flip:y;z-index:1;mso-position-horizontal-relative:page;mso-position-vertical-relative:page;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6ilwMAAKA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BdRh6ilwMAAKA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2052"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2053"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proofErr w:type="gramStart"/>
    <w:r>
      <w:rPr>
        <w:rFonts w:ascii="Cambria" w:eastAsia="Times New Roman" w:hAnsi="Cambria"/>
      </w:rPr>
      <w:t>APRC  -</w:t>
    </w:r>
    <w:proofErr w:type="gramEnd"/>
    <w:r>
      <w:rPr>
        <w:rFonts w:ascii="Cambria" w:eastAsia="Times New Roman" w:hAnsi="Cambria"/>
      </w:rPr>
      <w:t xml:space="preserve">  Observations sur le mémoire de la Cavimac contre Marcel MARGUET</w:t>
    </w:r>
    <w:r w:rsidRPr="00EE06C9">
      <w:rPr>
        <w:rFonts w:ascii="Cambria" w:eastAsia="Times New Roman" w:hAnsi="Cambria"/>
      </w:rPr>
      <w:tab/>
      <w:t xml:space="preserve">Page </w:t>
    </w:r>
    <w:r w:rsidRPr="00EE06C9">
      <w:rPr>
        <w:rFonts w:ascii="Calibri" w:eastAsia="Times New Roman" w:hAnsi="Calibri"/>
      </w:rPr>
      <w:fldChar w:fldCharType="begin"/>
    </w:r>
    <w:r>
      <w:instrText>PAGE   \* MERGEFORMAT</w:instrText>
    </w:r>
    <w:r w:rsidRPr="00EE06C9">
      <w:rPr>
        <w:rFonts w:ascii="Calibri" w:eastAsia="Times New Roman" w:hAnsi="Calibri"/>
      </w:rPr>
      <w:fldChar w:fldCharType="separate"/>
    </w:r>
    <w:r w:rsidR="00534521" w:rsidRPr="00534521">
      <w:rPr>
        <w:rFonts w:ascii="Cambria" w:eastAsia="Times New Roman" w:hAnsi="Cambria"/>
        <w:noProof/>
      </w:rPr>
      <w:t>10</w:t>
    </w:r>
    <w:r w:rsidRPr="00EE06C9">
      <w:rPr>
        <w:rFonts w:ascii="Cambria" w:eastAsia="Times New Roman" w:hAnsi="Cambria"/>
      </w:rPr>
      <w:fldChar w:fldCharType="end"/>
    </w:r>
    <w:r>
      <w:rPr>
        <w:rFonts w:ascii="Cambria" w:eastAsia="Times New Roman" w:hAnsi="Cambria"/>
      </w:rPr>
      <w:t>/</w:t>
    </w:r>
    <w:r>
      <w:rPr>
        <w:rFonts w:ascii="Cambria" w:eastAsia="Times New Roman" w:hAnsi="Cambria"/>
      </w:rPr>
      <w:fldChar w:fldCharType="begin"/>
    </w:r>
    <w:r>
      <w:rPr>
        <w:rFonts w:ascii="Cambria" w:eastAsia="Times New Roman" w:hAnsi="Cambria"/>
      </w:rPr>
      <w:instrText xml:space="preserve"> NUMPAGES  \* Arabic  \* MERGEFORMAT </w:instrText>
    </w:r>
    <w:r>
      <w:rPr>
        <w:rFonts w:ascii="Cambria" w:eastAsia="Times New Roman" w:hAnsi="Cambria"/>
      </w:rPr>
      <w:fldChar w:fldCharType="separate"/>
    </w:r>
    <w:r w:rsidR="00534521">
      <w:rPr>
        <w:rFonts w:ascii="Cambria" w:eastAsia="Times New Roman" w:hAnsi="Cambria"/>
        <w:noProof/>
      </w:rPr>
      <w:t>11</w:t>
    </w:r>
    <w:r>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FA4B" w14:textId="77777777" w:rsidR="00BB6A4D" w:rsidRDefault="00BB6A4D" w:rsidP="00D46B49">
      <w:pPr>
        <w:spacing w:before="0"/>
      </w:pPr>
      <w:r>
        <w:separator/>
      </w:r>
    </w:p>
  </w:footnote>
  <w:footnote w:type="continuationSeparator" w:id="0">
    <w:p w14:paraId="0B155A0F" w14:textId="77777777" w:rsidR="00BB6A4D" w:rsidRDefault="00BB6A4D" w:rsidP="00D46B4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CD22D6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F275D1"/>
    <w:multiLevelType w:val="hybridMultilevel"/>
    <w:tmpl w:val="15829F0A"/>
    <w:lvl w:ilvl="0" w:tplc="B85C4C7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F5D04"/>
    <w:multiLevelType w:val="hybridMultilevel"/>
    <w:tmpl w:val="78027776"/>
    <w:lvl w:ilvl="0" w:tplc="00000002">
      <w:start w:val="8"/>
      <w:numFmt w:val="bullet"/>
      <w:lvlText w:val="-"/>
      <w:lvlJc w:val="left"/>
      <w:pPr>
        <w:ind w:left="720" w:hanging="360"/>
      </w:pPr>
      <w:rPr>
        <w:rFonts w:ascii="Palatino Linotype" w:hAnsi="Palatino Linotyp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583651"/>
    <w:multiLevelType w:val="hybridMultilevel"/>
    <w:tmpl w:val="F82A14C2"/>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C81463"/>
    <w:multiLevelType w:val="hybridMultilevel"/>
    <w:tmpl w:val="C2DC0688"/>
    <w:lvl w:ilvl="0" w:tplc="00000002">
      <w:start w:val="8"/>
      <w:numFmt w:val="bullet"/>
      <w:lvlText w:val="-"/>
      <w:lvlJc w:val="left"/>
      <w:pPr>
        <w:ind w:left="1287" w:hanging="360"/>
      </w:pPr>
      <w:rPr>
        <w:rFonts w:ascii="Palatino Linotype" w:hAnsi="Palatino Linotype"/>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5A824A7"/>
    <w:multiLevelType w:val="hybridMultilevel"/>
    <w:tmpl w:val="4948B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A32A26"/>
    <w:multiLevelType w:val="hybridMultilevel"/>
    <w:tmpl w:val="9432BF00"/>
    <w:lvl w:ilvl="0" w:tplc="5E566A2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EE1D4C"/>
    <w:multiLevelType w:val="hybridMultilevel"/>
    <w:tmpl w:val="6852A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EE0117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75D94671"/>
    <w:multiLevelType w:val="hybridMultilevel"/>
    <w:tmpl w:val="252EC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A374F7"/>
    <w:multiLevelType w:val="hybridMultilevel"/>
    <w:tmpl w:val="4948B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5"/>
  </w:num>
  <w:num w:numId="6">
    <w:abstractNumId w:val="1"/>
  </w:num>
  <w:num w:numId="7">
    <w:abstractNumId w:val="3"/>
  </w:num>
  <w:num w:numId="8">
    <w:abstractNumId w:val="0"/>
  </w:num>
  <w:num w:numId="9">
    <w:abstractNumId w:val="2"/>
  </w:num>
  <w:num w:numId="10">
    <w:abstractNumId w:val="4"/>
  </w:num>
  <w:num w:numId="11">
    <w:abstractNumId w:val="7"/>
  </w:num>
  <w:num w:numId="12">
    <w:abstractNumId w:val="8"/>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oNotTrackMoves/>
  <w:documentProtection w:edit="readOnly" w:enforcement="1"/>
  <w:defaultTabStop w:val="708"/>
  <w:hyphenationZone w:val="425"/>
  <w:characterSpacingControl w:val="doNotCompress"/>
  <w:hdrShapeDefaults>
    <o:shapedefaults v:ext="edit" spidmax="2054"/>
    <o:shapelayout v:ext="edit">
      <o:idmap v:ext="edit" data="2"/>
      <o:rules v:ext="edit">
        <o:r id="V:Rule1" type="connector" idref="#AutoShape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65A"/>
    <w:rsid w:val="00006419"/>
    <w:rsid w:val="000876DD"/>
    <w:rsid w:val="00091845"/>
    <w:rsid w:val="00182F45"/>
    <w:rsid w:val="001C1E5C"/>
    <w:rsid w:val="001D4E91"/>
    <w:rsid w:val="001E0AB0"/>
    <w:rsid w:val="001F2DC7"/>
    <w:rsid w:val="002771EC"/>
    <w:rsid w:val="002B1973"/>
    <w:rsid w:val="002B259E"/>
    <w:rsid w:val="002C1B6F"/>
    <w:rsid w:val="002D5F77"/>
    <w:rsid w:val="003A7685"/>
    <w:rsid w:val="0041065A"/>
    <w:rsid w:val="00493DEF"/>
    <w:rsid w:val="00512D0A"/>
    <w:rsid w:val="00534521"/>
    <w:rsid w:val="005963D7"/>
    <w:rsid w:val="005A3EE6"/>
    <w:rsid w:val="00614C79"/>
    <w:rsid w:val="006875E6"/>
    <w:rsid w:val="006B55A6"/>
    <w:rsid w:val="006D29B6"/>
    <w:rsid w:val="0072080C"/>
    <w:rsid w:val="0074022F"/>
    <w:rsid w:val="00767FA0"/>
    <w:rsid w:val="007A7A02"/>
    <w:rsid w:val="007D154B"/>
    <w:rsid w:val="00805A13"/>
    <w:rsid w:val="00815A8A"/>
    <w:rsid w:val="00842D06"/>
    <w:rsid w:val="008710FC"/>
    <w:rsid w:val="00876E4B"/>
    <w:rsid w:val="009A54B6"/>
    <w:rsid w:val="00A17F05"/>
    <w:rsid w:val="00AA3E3D"/>
    <w:rsid w:val="00AB3A2F"/>
    <w:rsid w:val="00B91889"/>
    <w:rsid w:val="00BB6A4D"/>
    <w:rsid w:val="00C9480E"/>
    <w:rsid w:val="00CE445C"/>
    <w:rsid w:val="00D04E02"/>
    <w:rsid w:val="00D46B49"/>
    <w:rsid w:val="00D76007"/>
    <w:rsid w:val="00DA6C15"/>
    <w:rsid w:val="00E40734"/>
    <w:rsid w:val="00E47AA3"/>
    <w:rsid w:val="00E97FB4"/>
    <w:rsid w:val="00EC2758"/>
    <w:rsid w:val="00EE06C9"/>
    <w:rsid w:val="00EF4A1D"/>
    <w:rsid w:val="00FA3275"/>
    <w:rsid w:val="00FC5F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CB0F9C"/>
  <w15:chartTrackingRefBased/>
  <w15:docId w15:val="{902A6245-DDD1-4A11-8922-50F8DCA7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A3"/>
    <w:pPr>
      <w:spacing w:before="120"/>
    </w:pPr>
    <w:rPr>
      <w:rFonts w:ascii="Times New Roman" w:hAnsi="Times New Roman"/>
      <w:sz w:val="24"/>
      <w:szCs w:val="22"/>
      <w:lang w:eastAsia="en-US"/>
    </w:rPr>
  </w:style>
  <w:style w:type="paragraph" w:styleId="Titre1">
    <w:name w:val="heading 1"/>
    <w:basedOn w:val="Normal"/>
    <w:next w:val="Normal"/>
    <w:link w:val="Titre1Car"/>
    <w:uiPriority w:val="9"/>
    <w:qFormat/>
    <w:rsid w:val="00A17F05"/>
    <w:pPr>
      <w:keepNext/>
      <w:numPr>
        <w:numId w:val="1"/>
      </w:numPr>
      <w:spacing w:before="240" w:after="60"/>
      <w:ind w:left="431" w:hanging="431"/>
      <w:outlineLvl w:val="0"/>
    </w:pPr>
    <w:rPr>
      <w:rFonts w:eastAsia="Times New Roman"/>
      <w:b/>
      <w:bCs/>
      <w:caps/>
      <w:kern w:val="32"/>
      <w:sz w:val="28"/>
      <w:szCs w:val="32"/>
    </w:rPr>
  </w:style>
  <w:style w:type="paragraph" w:styleId="Titre2">
    <w:name w:val="heading 2"/>
    <w:basedOn w:val="Normal"/>
    <w:next w:val="Normal"/>
    <w:link w:val="Titre2Car"/>
    <w:uiPriority w:val="9"/>
    <w:unhideWhenUsed/>
    <w:qFormat/>
    <w:rsid w:val="00A17F05"/>
    <w:pPr>
      <w:keepNext/>
      <w:numPr>
        <w:ilvl w:val="1"/>
        <w:numId w:val="1"/>
      </w:numPr>
      <w:spacing w:before="180"/>
      <w:ind w:left="578" w:hanging="578"/>
      <w:outlineLvl w:val="1"/>
    </w:pPr>
    <w:rPr>
      <w:rFonts w:eastAsia="Times New Roman"/>
      <w:b/>
      <w:bCs/>
      <w:iCs/>
      <w:caps/>
      <w:szCs w:val="28"/>
    </w:rPr>
  </w:style>
  <w:style w:type="paragraph" w:styleId="Titre3">
    <w:name w:val="heading 3"/>
    <w:basedOn w:val="Normal"/>
    <w:next w:val="Normal"/>
    <w:link w:val="Titre3Car"/>
    <w:uiPriority w:val="9"/>
    <w:unhideWhenUsed/>
    <w:qFormat/>
    <w:rsid w:val="00A17F05"/>
    <w:pPr>
      <w:keepNext/>
      <w:numPr>
        <w:ilvl w:val="2"/>
        <w:numId w:val="1"/>
      </w:numPr>
      <w:outlineLvl w:val="2"/>
    </w:pPr>
    <w:rPr>
      <w:rFonts w:eastAsia="Times New Roman"/>
      <w:b/>
      <w:bCs/>
      <w:szCs w:val="26"/>
    </w:rPr>
  </w:style>
  <w:style w:type="paragraph" w:styleId="Titre4">
    <w:name w:val="heading 4"/>
    <w:basedOn w:val="Normal"/>
    <w:next w:val="Normal"/>
    <w:link w:val="Titre4Car"/>
    <w:uiPriority w:val="9"/>
    <w:unhideWhenUsed/>
    <w:qFormat/>
    <w:rsid w:val="00A17F05"/>
    <w:pPr>
      <w:keepNext/>
      <w:numPr>
        <w:ilvl w:val="3"/>
        <w:numId w:val="1"/>
      </w:numPr>
      <w:ind w:left="862" w:hanging="862"/>
      <w:outlineLvl w:val="3"/>
    </w:pPr>
    <w:rPr>
      <w:rFonts w:eastAsia="Times New Roman"/>
      <w:b/>
      <w:bCs/>
      <w:szCs w:val="28"/>
    </w:rPr>
  </w:style>
  <w:style w:type="paragraph" w:styleId="Titre5">
    <w:name w:val="heading 5"/>
    <w:basedOn w:val="Normal"/>
    <w:next w:val="Normal"/>
    <w:link w:val="Titre5Car"/>
    <w:uiPriority w:val="9"/>
    <w:semiHidden/>
    <w:unhideWhenUsed/>
    <w:qFormat/>
    <w:rsid w:val="00A17F05"/>
    <w:pPr>
      <w:numPr>
        <w:ilvl w:val="4"/>
        <w:numId w:val="1"/>
      </w:numPr>
      <w:spacing w:before="240" w:after="60"/>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A17F05"/>
    <w:pPr>
      <w:numPr>
        <w:ilvl w:val="5"/>
        <w:numId w:val="1"/>
      </w:numPr>
      <w:spacing w:before="240" w:after="60"/>
      <w:outlineLvl w:val="5"/>
    </w:pPr>
    <w:rPr>
      <w:rFonts w:ascii="Calibri" w:eastAsia="Times New Roman" w:hAnsi="Calibri"/>
      <w:b/>
      <w:bCs/>
    </w:rPr>
  </w:style>
  <w:style w:type="paragraph" w:styleId="Titre7">
    <w:name w:val="heading 7"/>
    <w:basedOn w:val="Normal"/>
    <w:next w:val="Normal"/>
    <w:link w:val="Titre7Car"/>
    <w:uiPriority w:val="9"/>
    <w:semiHidden/>
    <w:unhideWhenUsed/>
    <w:qFormat/>
    <w:rsid w:val="00A17F05"/>
    <w:pPr>
      <w:numPr>
        <w:ilvl w:val="6"/>
        <w:numId w:val="1"/>
      </w:numPr>
      <w:spacing w:before="240" w:after="60"/>
      <w:outlineLvl w:val="6"/>
    </w:pPr>
    <w:rPr>
      <w:rFonts w:ascii="Calibri" w:eastAsia="Times New Roman" w:hAnsi="Calibri"/>
      <w:szCs w:val="24"/>
    </w:rPr>
  </w:style>
  <w:style w:type="paragraph" w:styleId="Titre8">
    <w:name w:val="heading 8"/>
    <w:basedOn w:val="Normal"/>
    <w:next w:val="Normal"/>
    <w:link w:val="Titre8Car"/>
    <w:uiPriority w:val="9"/>
    <w:semiHidden/>
    <w:unhideWhenUsed/>
    <w:qFormat/>
    <w:rsid w:val="00A17F05"/>
    <w:pPr>
      <w:numPr>
        <w:ilvl w:val="7"/>
        <w:numId w:val="1"/>
      </w:numPr>
      <w:spacing w:before="240" w:after="60"/>
      <w:outlineLvl w:val="7"/>
    </w:pPr>
    <w:rPr>
      <w:rFonts w:ascii="Calibri" w:eastAsia="Times New Roman" w:hAnsi="Calibri"/>
      <w:i/>
      <w:iCs/>
      <w:szCs w:val="24"/>
    </w:rPr>
  </w:style>
  <w:style w:type="paragraph" w:styleId="Titre9">
    <w:name w:val="heading 9"/>
    <w:basedOn w:val="Normal"/>
    <w:next w:val="Normal"/>
    <w:link w:val="Titre9Car"/>
    <w:uiPriority w:val="9"/>
    <w:semiHidden/>
    <w:unhideWhenUsed/>
    <w:qFormat/>
    <w:rsid w:val="00A17F05"/>
    <w:pPr>
      <w:numPr>
        <w:ilvl w:val="8"/>
        <w:numId w:val="1"/>
      </w:numPr>
      <w:spacing w:before="240" w:after="60"/>
      <w:outlineLvl w:val="8"/>
    </w:pPr>
    <w:rPr>
      <w:rFonts w:ascii="Cambria" w:eastAsia="Times New Roman" w:hAnsi="Cambri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47AA3"/>
    <w:pPr>
      <w:pBdr>
        <w:top w:val="single" w:sz="4" w:space="1" w:color="auto"/>
        <w:left w:val="single" w:sz="4" w:space="4" w:color="auto"/>
        <w:bottom w:val="single" w:sz="4" w:space="1" w:color="auto"/>
        <w:right w:val="single" w:sz="4" w:space="4" w:color="auto"/>
      </w:pBdr>
      <w:spacing w:after="120"/>
      <w:jc w:val="center"/>
      <w:outlineLvl w:val="0"/>
    </w:pPr>
    <w:rPr>
      <w:rFonts w:eastAsia="Times New Roman"/>
      <w:b/>
      <w:bCs/>
      <w:caps/>
      <w:kern w:val="28"/>
      <w:sz w:val="28"/>
      <w:szCs w:val="32"/>
    </w:rPr>
  </w:style>
  <w:style w:type="character" w:customStyle="1" w:styleId="TitreCar">
    <w:name w:val="Titre Car"/>
    <w:link w:val="Titre"/>
    <w:uiPriority w:val="10"/>
    <w:rsid w:val="00E47AA3"/>
    <w:rPr>
      <w:rFonts w:ascii="Times New Roman" w:eastAsia="Times New Roman" w:hAnsi="Times New Roman" w:cs="Times New Roman"/>
      <w:b/>
      <w:bCs/>
      <w:caps/>
      <w:kern w:val="28"/>
      <w:sz w:val="28"/>
      <w:szCs w:val="32"/>
      <w:lang w:eastAsia="en-US"/>
    </w:rPr>
  </w:style>
  <w:style w:type="paragraph" w:styleId="Sansinterligne">
    <w:name w:val="No Spacing"/>
    <w:uiPriority w:val="1"/>
    <w:qFormat/>
    <w:rsid w:val="00A17F05"/>
    <w:rPr>
      <w:sz w:val="22"/>
      <w:szCs w:val="22"/>
      <w:lang w:eastAsia="en-US"/>
    </w:rPr>
  </w:style>
  <w:style w:type="character" w:customStyle="1" w:styleId="Titre1Car">
    <w:name w:val="Titre 1 Car"/>
    <w:link w:val="Titre1"/>
    <w:uiPriority w:val="9"/>
    <w:rsid w:val="00A17F05"/>
    <w:rPr>
      <w:rFonts w:ascii="Times New Roman" w:eastAsia="Times New Roman" w:hAnsi="Times New Roman" w:cs="Times New Roman"/>
      <w:b/>
      <w:bCs/>
      <w:caps/>
      <w:kern w:val="32"/>
      <w:sz w:val="28"/>
      <w:szCs w:val="32"/>
      <w:lang w:eastAsia="en-US"/>
    </w:rPr>
  </w:style>
  <w:style w:type="character" w:customStyle="1" w:styleId="Titre2Car">
    <w:name w:val="Titre 2 Car"/>
    <w:link w:val="Titre2"/>
    <w:uiPriority w:val="9"/>
    <w:rsid w:val="00A17F05"/>
    <w:rPr>
      <w:rFonts w:ascii="Times New Roman" w:eastAsia="Times New Roman" w:hAnsi="Times New Roman" w:cs="Times New Roman"/>
      <w:b/>
      <w:bCs/>
      <w:iCs/>
      <w:caps/>
      <w:sz w:val="24"/>
      <w:szCs w:val="28"/>
      <w:lang w:eastAsia="en-US"/>
    </w:rPr>
  </w:style>
  <w:style w:type="character" w:customStyle="1" w:styleId="Titre3Car">
    <w:name w:val="Titre 3 Car"/>
    <w:link w:val="Titre3"/>
    <w:uiPriority w:val="9"/>
    <w:rsid w:val="00A17F05"/>
    <w:rPr>
      <w:rFonts w:ascii="Times New Roman" w:eastAsia="Times New Roman" w:hAnsi="Times New Roman"/>
      <w:b/>
      <w:bCs/>
      <w:sz w:val="24"/>
      <w:szCs w:val="26"/>
      <w:lang w:eastAsia="en-US"/>
    </w:rPr>
  </w:style>
  <w:style w:type="character" w:customStyle="1" w:styleId="Titre4Car">
    <w:name w:val="Titre 4 Car"/>
    <w:link w:val="Titre4"/>
    <w:uiPriority w:val="9"/>
    <w:rsid w:val="00A17F05"/>
    <w:rPr>
      <w:rFonts w:ascii="Times New Roman" w:eastAsia="Times New Roman" w:hAnsi="Times New Roman" w:cs="Times New Roman"/>
      <w:b/>
      <w:bCs/>
      <w:sz w:val="24"/>
      <w:szCs w:val="28"/>
      <w:lang w:eastAsia="en-US"/>
    </w:rPr>
  </w:style>
  <w:style w:type="character" w:customStyle="1" w:styleId="Titre5Car">
    <w:name w:val="Titre 5 Car"/>
    <w:link w:val="Titre5"/>
    <w:uiPriority w:val="9"/>
    <w:semiHidden/>
    <w:rsid w:val="00A17F05"/>
    <w:rPr>
      <w:rFonts w:ascii="Calibri" w:eastAsia="Times New Roman" w:hAnsi="Calibri" w:cs="Times New Roman"/>
      <w:b/>
      <w:bCs/>
      <w:i/>
      <w:iCs/>
      <w:sz w:val="26"/>
      <w:szCs w:val="26"/>
      <w:lang w:eastAsia="en-US"/>
    </w:rPr>
  </w:style>
  <w:style w:type="character" w:customStyle="1" w:styleId="Titre6Car">
    <w:name w:val="Titre 6 Car"/>
    <w:link w:val="Titre6"/>
    <w:uiPriority w:val="9"/>
    <w:semiHidden/>
    <w:rsid w:val="00A17F05"/>
    <w:rPr>
      <w:rFonts w:ascii="Calibri" w:eastAsia="Times New Roman" w:hAnsi="Calibri" w:cs="Times New Roman"/>
      <w:b/>
      <w:bCs/>
      <w:sz w:val="22"/>
      <w:szCs w:val="22"/>
      <w:lang w:eastAsia="en-US"/>
    </w:rPr>
  </w:style>
  <w:style w:type="character" w:customStyle="1" w:styleId="Titre7Car">
    <w:name w:val="Titre 7 Car"/>
    <w:link w:val="Titre7"/>
    <w:uiPriority w:val="9"/>
    <w:semiHidden/>
    <w:rsid w:val="00A17F05"/>
    <w:rPr>
      <w:rFonts w:ascii="Calibri" w:eastAsia="Times New Roman" w:hAnsi="Calibri" w:cs="Times New Roman"/>
      <w:sz w:val="24"/>
      <w:szCs w:val="24"/>
      <w:lang w:eastAsia="en-US"/>
    </w:rPr>
  </w:style>
  <w:style w:type="character" w:customStyle="1" w:styleId="Titre8Car">
    <w:name w:val="Titre 8 Car"/>
    <w:link w:val="Titre8"/>
    <w:uiPriority w:val="9"/>
    <w:semiHidden/>
    <w:rsid w:val="00A17F05"/>
    <w:rPr>
      <w:rFonts w:ascii="Calibri" w:eastAsia="Times New Roman" w:hAnsi="Calibri" w:cs="Times New Roman"/>
      <w:i/>
      <w:iCs/>
      <w:sz w:val="24"/>
      <w:szCs w:val="24"/>
      <w:lang w:eastAsia="en-US"/>
    </w:rPr>
  </w:style>
  <w:style w:type="character" w:customStyle="1" w:styleId="Titre9Car">
    <w:name w:val="Titre 9 Car"/>
    <w:link w:val="Titre9"/>
    <w:uiPriority w:val="9"/>
    <w:semiHidden/>
    <w:rsid w:val="00A17F05"/>
    <w:rPr>
      <w:rFonts w:ascii="Cambria" w:eastAsia="Times New Roman" w:hAnsi="Cambria" w:cs="Times New Roman"/>
      <w:sz w:val="22"/>
      <w:szCs w:val="22"/>
      <w:lang w:eastAsia="en-US"/>
    </w:rPr>
  </w:style>
  <w:style w:type="paragraph" w:styleId="TM1">
    <w:name w:val="toc 1"/>
    <w:basedOn w:val="Normal"/>
    <w:next w:val="Normal"/>
    <w:autoRedefine/>
    <w:uiPriority w:val="39"/>
    <w:unhideWhenUsed/>
    <w:rsid w:val="00182F45"/>
    <w:pPr>
      <w:spacing w:before="240"/>
    </w:pPr>
    <w:rPr>
      <w:b/>
      <w:caps/>
    </w:rPr>
  </w:style>
  <w:style w:type="paragraph" w:styleId="TM2">
    <w:name w:val="toc 2"/>
    <w:basedOn w:val="Normal"/>
    <w:next w:val="Normal"/>
    <w:autoRedefine/>
    <w:uiPriority w:val="39"/>
    <w:unhideWhenUsed/>
    <w:rsid w:val="00182F45"/>
    <w:pPr>
      <w:ind w:left="238"/>
    </w:pPr>
    <w:rPr>
      <w:b/>
      <w:caps/>
      <w:sz w:val="22"/>
    </w:rPr>
  </w:style>
  <w:style w:type="character" w:styleId="Lienhypertexte">
    <w:name w:val="Hyperlink"/>
    <w:uiPriority w:val="99"/>
    <w:unhideWhenUsed/>
    <w:rsid w:val="0072080C"/>
    <w:rPr>
      <w:color w:val="0000FF"/>
      <w:u w:val="single"/>
    </w:rPr>
  </w:style>
  <w:style w:type="paragraph" w:styleId="Notedebasdepage">
    <w:name w:val="footnote text"/>
    <w:basedOn w:val="Normal"/>
    <w:link w:val="NotedebasdepageCar"/>
    <w:uiPriority w:val="99"/>
    <w:semiHidden/>
    <w:unhideWhenUsed/>
    <w:rsid w:val="00D46B49"/>
    <w:rPr>
      <w:sz w:val="20"/>
      <w:szCs w:val="20"/>
    </w:rPr>
  </w:style>
  <w:style w:type="paragraph" w:styleId="TM3">
    <w:name w:val="toc 3"/>
    <w:basedOn w:val="Normal"/>
    <w:next w:val="Normal"/>
    <w:autoRedefine/>
    <w:uiPriority w:val="39"/>
    <w:unhideWhenUsed/>
    <w:rsid w:val="00182F45"/>
    <w:pPr>
      <w:spacing w:before="0"/>
      <w:ind w:left="482"/>
    </w:pPr>
    <w:rPr>
      <w:smallCaps/>
    </w:rPr>
  </w:style>
  <w:style w:type="character" w:customStyle="1" w:styleId="NotedebasdepageCar">
    <w:name w:val="Note de bas de page Car"/>
    <w:link w:val="Notedebasdepage"/>
    <w:uiPriority w:val="99"/>
    <w:semiHidden/>
    <w:rsid w:val="00D46B49"/>
    <w:rPr>
      <w:rFonts w:ascii="Times New Roman" w:hAnsi="Times New Roman"/>
      <w:lang w:eastAsia="en-US"/>
    </w:rPr>
  </w:style>
  <w:style w:type="paragraph" w:styleId="En-tte">
    <w:name w:val="header"/>
    <w:basedOn w:val="Normal"/>
    <w:link w:val="En-tteCar"/>
    <w:uiPriority w:val="99"/>
    <w:unhideWhenUsed/>
    <w:rsid w:val="00EE06C9"/>
    <w:pPr>
      <w:tabs>
        <w:tab w:val="center" w:pos="4536"/>
        <w:tab w:val="right" w:pos="9072"/>
      </w:tabs>
    </w:pPr>
  </w:style>
  <w:style w:type="character" w:customStyle="1" w:styleId="En-tteCar">
    <w:name w:val="En-tête Car"/>
    <w:link w:val="En-tte"/>
    <w:uiPriority w:val="99"/>
    <w:rsid w:val="00EE06C9"/>
    <w:rPr>
      <w:rFonts w:ascii="Times New Roman" w:hAnsi="Times New Roman"/>
      <w:sz w:val="24"/>
      <w:szCs w:val="22"/>
      <w:lang w:eastAsia="en-US"/>
    </w:rPr>
  </w:style>
  <w:style w:type="paragraph" w:styleId="Pieddepage">
    <w:name w:val="footer"/>
    <w:basedOn w:val="Normal"/>
    <w:link w:val="PieddepageCar"/>
    <w:uiPriority w:val="99"/>
    <w:unhideWhenUsed/>
    <w:rsid w:val="00EE06C9"/>
    <w:pPr>
      <w:tabs>
        <w:tab w:val="center" w:pos="4536"/>
        <w:tab w:val="right" w:pos="9072"/>
      </w:tabs>
    </w:pPr>
  </w:style>
  <w:style w:type="character" w:customStyle="1" w:styleId="PieddepageCar">
    <w:name w:val="Pied de page Car"/>
    <w:link w:val="Pieddepage"/>
    <w:uiPriority w:val="99"/>
    <w:rsid w:val="00EE06C9"/>
    <w:rPr>
      <w:rFonts w:ascii="Times New Roman" w:hAnsi="Times New Roman"/>
      <w:sz w:val="24"/>
      <w:szCs w:val="22"/>
      <w:lang w:eastAsia="en-US"/>
    </w:rPr>
  </w:style>
  <w:style w:type="paragraph" w:styleId="Textedebulles">
    <w:name w:val="Balloon Text"/>
    <w:basedOn w:val="Normal"/>
    <w:link w:val="TextedebullesCar"/>
    <w:uiPriority w:val="99"/>
    <w:semiHidden/>
    <w:unhideWhenUsed/>
    <w:rsid w:val="00EE06C9"/>
    <w:pPr>
      <w:spacing w:before="0"/>
    </w:pPr>
    <w:rPr>
      <w:rFonts w:ascii="Tahoma" w:hAnsi="Tahoma" w:cs="Tahoma"/>
      <w:sz w:val="16"/>
      <w:szCs w:val="16"/>
    </w:rPr>
  </w:style>
  <w:style w:type="character" w:customStyle="1" w:styleId="TextedebullesCar">
    <w:name w:val="Texte de bulles Car"/>
    <w:link w:val="Textedebulles"/>
    <w:uiPriority w:val="99"/>
    <w:semiHidden/>
    <w:rsid w:val="00EE06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Raisonnement_fallacieu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lapost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dessertaine@cavimac.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france.gouv.fr/affichCodeArticle.do;jsessionid=081E5036AF6759C266CE46C20CDACCB3.tpdjo12v_1?cidTexte=LEGITEXT000006073189&amp;idArticle=LEGIARTI000006741153&amp;dateTexte=&amp;categorieLien=cid" TargetMode="External"/><Relationship Id="rId4" Type="http://schemas.openxmlformats.org/officeDocument/2006/relationships/settings" Target="settings.xml"/><Relationship Id="rId9" Type="http://schemas.openxmlformats.org/officeDocument/2006/relationships/hyperlink" Target="http://fr.wikipedia.org/wiki/Pr%C3%A9miss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AppData\Roaming\Microsoft\Templates\Essai_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47BF3-CF5D-4D29-B191-0011C14A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Essai_2</Template>
  <TotalTime>0</TotalTime>
  <Pages>11</Pages>
  <Words>4915</Words>
  <Characters>27038</Characters>
  <Application>Microsoft Office Word</Application>
  <DocSecurity>8</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31890</CharactersWithSpaces>
  <SharedDoc>false</SharedDoc>
  <HLinks>
    <vt:vector size="150" baseType="variant">
      <vt:variant>
        <vt:i4>655419</vt:i4>
      </vt:variant>
      <vt:variant>
        <vt:i4>135</vt:i4>
      </vt:variant>
      <vt:variant>
        <vt:i4>0</vt:i4>
      </vt:variant>
      <vt:variant>
        <vt:i4>5</vt:i4>
      </vt:variant>
      <vt:variant>
        <vt:lpwstr>mailto:xxxxx@laposte.net</vt:lpwstr>
      </vt:variant>
      <vt:variant>
        <vt:lpwstr/>
      </vt:variant>
      <vt:variant>
        <vt:i4>5832758</vt:i4>
      </vt:variant>
      <vt:variant>
        <vt:i4>132</vt:i4>
      </vt:variant>
      <vt:variant>
        <vt:i4>0</vt:i4>
      </vt:variant>
      <vt:variant>
        <vt:i4>5</vt:i4>
      </vt:variant>
      <vt:variant>
        <vt:lpwstr>mailto:jean.dessertaine@cavimac.fr</vt:lpwstr>
      </vt:variant>
      <vt:variant>
        <vt:lpwstr/>
      </vt:variant>
      <vt:variant>
        <vt:i4>1835105</vt:i4>
      </vt:variant>
      <vt:variant>
        <vt:i4>129</vt:i4>
      </vt:variant>
      <vt:variant>
        <vt:i4>0</vt:i4>
      </vt:variant>
      <vt:variant>
        <vt:i4>5</vt:i4>
      </vt:variant>
      <vt:variant>
        <vt:lpwstr>http://www.legifrance.gouv.fr/affichCodeArticle.do;jsessionid=081E5036AF6759C266CE46C20CDACCB3.tpdjo12v_1?cidTexte=LEGITEXT000006073189&amp;idArticle=LEGIARTI000006741153&amp;dateTexte=&amp;categorieLien=cid</vt:lpwstr>
      </vt:variant>
      <vt:variant>
        <vt:lpwstr/>
      </vt:variant>
      <vt:variant>
        <vt:i4>6291518</vt:i4>
      </vt:variant>
      <vt:variant>
        <vt:i4>126</vt:i4>
      </vt:variant>
      <vt:variant>
        <vt:i4>0</vt:i4>
      </vt:variant>
      <vt:variant>
        <vt:i4>5</vt:i4>
      </vt:variant>
      <vt:variant>
        <vt:lpwstr>http://fr.wikipedia.org/wiki/Pr%C3%A9misse</vt:lpwstr>
      </vt:variant>
      <vt:variant>
        <vt:lpwstr/>
      </vt:variant>
      <vt:variant>
        <vt:i4>2687062</vt:i4>
      </vt:variant>
      <vt:variant>
        <vt:i4>123</vt:i4>
      </vt:variant>
      <vt:variant>
        <vt:i4>0</vt:i4>
      </vt:variant>
      <vt:variant>
        <vt:i4>5</vt:i4>
      </vt:variant>
      <vt:variant>
        <vt:lpwstr>http://fr.wikipedia.org/wiki/Raisonnement_fallacieux</vt:lpwstr>
      </vt:variant>
      <vt:variant>
        <vt:lpwstr/>
      </vt:variant>
      <vt:variant>
        <vt:i4>1114172</vt:i4>
      </vt:variant>
      <vt:variant>
        <vt:i4>116</vt:i4>
      </vt:variant>
      <vt:variant>
        <vt:i4>0</vt:i4>
      </vt:variant>
      <vt:variant>
        <vt:i4>5</vt:i4>
      </vt:variant>
      <vt:variant>
        <vt:lpwstr/>
      </vt:variant>
      <vt:variant>
        <vt:lpwstr>_Toc378424519</vt:lpwstr>
      </vt:variant>
      <vt:variant>
        <vt:i4>1114172</vt:i4>
      </vt:variant>
      <vt:variant>
        <vt:i4>110</vt:i4>
      </vt:variant>
      <vt:variant>
        <vt:i4>0</vt:i4>
      </vt:variant>
      <vt:variant>
        <vt:i4>5</vt:i4>
      </vt:variant>
      <vt:variant>
        <vt:lpwstr/>
      </vt:variant>
      <vt:variant>
        <vt:lpwstr>_Toc378424518</vt:lpwstr>
      </vt:variant>
      <vt:variant>
        <vt:i4>1114172</vt:i4>
      </vt:variant>
      <vt:variant>
        <vt:i4>104</vt:i4>
      </vt:variant>
      <vt:variant>
        <vt:i4>0</vt:i4>
      </vt:variant>
      <vt:variant>
        <vt:i4>5</vt:i4>
      </vt:variant>
      <vt:variant>
        <vt:lpwstr/>
      </vt:variant>
      <vt:variant>
        <vt:lpwstr>_Toc378424517</vt:lpwstr>
      </vt:variant>
      <vt:variant>
        <vt:i4>1114172</vt:i4>
      </vt:variant>
      <vt:variant>
        <vt:i4>98</vt:i4>
      </vt:variant>
      <vt:variant>
        <vt:i4>0</vt:i4>
      </vt:variant>
      <vt:variant>
        <vt:i4>5</vt:i4>
      </vt:variant>
      <vt:variant>
        <vt:lpwstr/>
      </vt:variant>
      <vt:variant>
        <vt:lpwstr>_Toc378424516</vt:lpwstr>
      </vt:variant>
      <vt:variant>
        <vt:i4>1114172</vt:i4>
      </vt:variant>
      <vt:variant>
        <vt:i4>92</vt:i4>
      </vt:variant>
      <vt:variant>
        <vt:i4>0</vt:i4>
      </vt:variant>
      <vt:variant>
        <vt:i4>5</vt:i4>
      </vt:variant>
      <vt:variant>
        <vt:lpwstr/>
      </vt:variant>
      <vt:variant>
        <vt:lpwstr>_Toc378424515</vt:lpwstr>
      </vt:variant>
      <vt:variant>
        <vt:i4>1114172</vt:i4>
      </vt:variant>
      <vt:variant>
        <vt:i4>86</vt:i4>
      </vt:variant>
      <vt:variant>
        <vt:i4>0</vt:i4>
      </vt:variant>
      <vt:variant>
        <vt:i4>5</vt:i4>
      </vt:variant>
      <vt:variant>
        <vt:lpwstr/>
      </vt:variant>
      <vt:variant>
        <vt:lpwstr>_Toc378424514</vt:lpwstr>
      </vt:variant>
      <vt:variant>
        <vt:i4>1114172</vt:i4>
      </vt:variant>
      <vt:variant>
        <vt:i4>80</vt:i4>
      </vt:variant>
      <vt:variant>
        <vt:i4>0</vt:i4>
      </vt:variant>
      <vt:variant>
        <vt:i4>5</vt:i4>
      </vt:variant>
      <vt:variant>
        <vt:lpwstr/>
      </vt:variant>
      <vt:variant>
        <vt:lpwstr>_Toc378424513</vt:lpwstr>
      </vt:variant>
      <vt:variant>
        <vt:i4>1114172</vt:i4>
      </vt:variant>
      <vt:variant>
        <vt:i4>74</vt:i4>
      </vt:variant>
      <vt:variant>
        <vt:i4>0</vt:i4>
      </vt:variant>
      <vt:variant>
        <vt:i4>5</vt:i4>
      </vt:variant>
      <vt:variant>
        <vt:lpwstr/>
      </vt:variant>
      <vt:variant>
        <vt:lpwstr>_Toc378424512</vt:lpwstr>
      </vt:variant>
      <vt:variant>
        <vt:i4>1114172</vt:i4>
      </vt:variant>
      <vt:variant>
        <vt:i4>68</vt:i4>
      </vt:variant>
      <vt:variant>
        <vt:i4>0</vt:i4>
      </vt:variant>
      <vt:variant>
        <vt:i4>5</vt:i4>
      </vt:variant>
      <vt:variant>
        <vt:lpwstr/>
      </vt:variant>
      <vt:variant>
        <vt:lpwstr>_Toc378424511</vt:lpwstr>
      </vt:variant>
      <vt:variant>
        <vt:i4>1114172</vt:i4>
      </vt:variant>
      <vt:variant>
        <vt:i4>62</vt:i4>
      </vt:variant>
      <vt:variant>
        <vt:i4>0</vt:i4>
      </vt:variant>
      <vt:variant>
        <vt:i4>5</vt:i4>
      </vt:variant>
      <vt:variant>
        <vt:lpwstr/>
      </vt:variant>
      <vt:variant>
        <vt:lpwstr>_Toc378424510</vt:lpwstr>
      </vt:variant>
      <vt:variant>
        <vt:i4>1048636</vt:i4>
      </vt:variant>
      <vt:variant>
        <vt:i4>56</vt:i4>
      </vt:variant>
      <vt:variant>
        <vt:i4>0</vt:i4>
      </vt:variant>
      <vt:variant>
        <vt:i4>5</vt:i4>
      </vt:variant>
      <vt:variant>
        <vt:lpwstr/>
      </vt:variant>
      <vt:variant>
        <vt:lpwstr>_Toc378424509</vt:lpwstr>
      </vt:variant>
      <vt:variant>
        <vt:i4>1048636</vt:i4>
      </vt:variant>
      <vt:variant>
        <vt:i4>50</vt:i4>
      </vt:variant>
      <vt:variant>
        <vt:i4>0</vt:i4>
      </vt:variant>
      <vt:variant>
        <vt:i4>5</vt:i4>
      </vt:variant>
      <vt:variant>
        <vt:lpwstr/>
      </vt:variant>
      <vt:variant>
        <vt:lpwstr>_Toc378424508</vt:lpwstr>
      </vt:variant>
      <vt:variant>
        <vt:i4>1048636</vt:i4>
      </vt:variant>
      <vt:variant>
        <vt:i4>44</vt:i4>
      </vt:variant>
      <vt:variant>
        <vt:i4>0</vt:i4>
      </vt:variant>
      <vt:variant>
        <vt:i4>5</vt:i4>
      </vt:variant>
      <vt:variant>
        <vt:lpwstr/>
      </vt:variant>
      <vt:variant>
        <vt:lpwstr>_Toc378424507</vt:lpwstr>
      </vt:variant>
      <vt:variant>
        <vt:i4>1048636</vt:i4>
      </vt:variant>
      <vt:variant>
        <vt:i4>38</vt:i4>
      </vt:variant>
      <vt:variant>
        <vt:i4>0</vt:i4>
      </vt:variant>
      <vt:variant>
        <vt:i4>5</vt:i4>
      </vt:variant>
      <vt:variant>
        <vt:lpwstr/>
      </vt:variant>
      <vt:variant>
        <vt:lpwstr>_Toc378424506</vt:lpwstr>
      </vt:variant>
      <vt:variant>
        <vt:i4>1048636</vt:i4>
      </vt:variant>
      <vt:variant>
        <vt:i4>32</vt:i4>
      </vt:variant>
      <vt:variant>
        <vt:i4>0</vt:i4>
      </vt:variant>
      <vt:variant>
        <vt:i4>5</vt:i4>
      </vt:variant>
      <vt:variant>
        <vt:lpwstr/>
      </vt:variant>
      <vt:variant>
        <vt:lpwstr>_Toc378424505</vt:lpwstr>
      </vt:variant>
      <vt:variant>
        <vt:i4>1048636</vt:i4>
      </vt:variant>
      <vt:variant>
        <vt:i4>26</vt:i4>
      </vt:variant>
      <vt:variant>
        <vt:i4>0</vt:i4>
      </vt:variant>
      <vt:variant>
        <vt:i4>5</vt:i4>
      </vt:variant>
      <vt:variant>
        <vt:lpwstr/>
      </vt:variant>
      <vt:variant>
        <vt:lpwstr>_Toc378424504</vt:lpwstr>
      </vt:variant>
      <vt:variant>
        <vt:i4>1048636</vt:i4>
      </vt:variant>
      <vt:variant>
        <vt:i4>20</vt:i4>
      </vt:variant>
      <vt:variant>
        <vt:i4>0</vt:i4>
      </vt:variant>
      <vt:variant>
        <vt:i4>5</vt:i4>
      </vt:variant>
      <vt:variant>
        <vt:lpwstr/>
      </vt:variant>
      <vt:variant>
        <vt:lpwstr>_Toc378424503</vt:lpwstr>
      </vt:variant>
      <vt:variant>
        <vt:i4>1048636</vt:i4>
      </vt:variant>
      <vt:variant>
        <vt:i4>14</vt:i4>
      </vt:variant>
      <vt:variant>
        <vt:i4>0</vt:i4>
      </vt:variant>
      <vt:variant>
        <vt:i4>5</vt:i4>
      </vt:variant>
      <vt:variant>
        <vt:lpwstr/>
      </vt:variant>
      <vt:variant>
        <vt:lpwstr>_Toc378424502</vt:lpwstr>
      </vt:variant>
      <vt:variant>
        <vt:i4>1048636</vt:i4>
      </vt:variant>
      <vt:variant>
        <vt:i4>8</vt:i4>
      </vt:variant>
      <vt:variant>
        <vt:i4>0</vt:i4>
      </vt:variant>
      <vt:variant>
        <vt:i4>5</vt:i4>
      </vt:variant>
      <vt:variant>
        <vt:lpwstr/>
      </vt:variant>
      <vt:variant>
        <vt:lpwstr>_Toc378424501</vt:lpwstr>
      </vt:variant>
      <vt:variant>
        <vt:i4>1048636</vt:i4>
      </vt:variant>
      <vt:variant>
        <vt:i4>2</vt:i4>
      </vt:variant>
      <vt:variant>
        <vt:i4>0</vt:i4>
      </vt:variant>
      <vt:variant>
        <vt:i4>5</vt:i4>
      </vt:variant>
      <vt:variant>
        <vt:lpwstr/>
      </vt:variant>
      <vt:variant>
        <vt:lpwstr>_Toc378424500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cp:lastModifiedBy>Joseph AUVINET</cp:lastModifiedBy>
  <cp:revision>3</cp:revision>
  <dcterms:created xsi:type="dcterms:W3CDTF">2021-07-23T16:07:00Z</dcterms:created>
  <dcterms:modified xsi:type="dcterms:W3CDTF">2021-07-23T16:07:00Z</dcterms:modified>
</cp:coreProperties>
</file>