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71F0" w14:textId="77777777" w:rsidR="0068798D" w:rsidRPr="00B74280" w:rsidRDefault="0068798D" w:rsidP="00364493">
      <w:pPr>
        <w:jc w:val="center"/>
        <w:rPr>
          <w:b/>
          <w:bCs/>
          <w:u w:val="single"/>
        </w:rPr>
      </w:pPr>
      <w:r w:rsidRPr="00B74280">
        <w:rPr>
          <w:b/>
          <w:bCs/>
          <w:u w:val="single"/>
        </w:rPr>
        <w:t>COUR DE CASSATION</w:t>
      </w:r>
    </w:p>
    <w:p w14:paraId="1DE7C933" w14:textId="77777777" w:rsidR="0068798D" w:rsidRPr="00B74280" w:rsidRDefault="0068798D" w:rsidP="00364493">
      <w:pPr>
        <w:jc w:val="center"/>
        <w:rPr>
          <w:b/>
          <w:bCs/>
          <w:u w:val="single"/>
        </w:rPr>
      </w:pPr>
    </w:p>
    <w:p w14:paraId="601E682A" w14:textId="77777777" w:rsidR="0068798D" w:rsidRPr="00B74280" w:rsidRDefault="0068798D" w:rsidP="00364493">
      <w:pPr>
        <w:jc w:val="center"/>
        <w:rPr>
          <w:b/>
          <w:bCs/>
          <w:u w:val="single"/>
        </w:rPr>
      </w:pPr>
      <w:r w:rsidRPr="00B74280">
        <w:rPr>
          <w:b/>
          <w:bCs/>
          <w:u w:val="single"/>
        </w:rPr>
        <w:t>CHAMBRES CIVILES</w:t>
      </w:r>
    </w:p>
    <w:p w14:paraId="098F0DC5" w14:textId="77777777" w:rsidR="0068798D" w:rsidRDefault="0068798D" w:rsidP="00364493">
      <w:pPr>
        <w:jc w:val="center"/>
        <w:rPr>
          <w:b/>
          <w:bCs/>
          <w:u w:val="single"/>
        </w:rPr>
      </w:pPr>
    </w:p>
    <w:p w14:paraId="500FF15E" w14:textId="77777777" w:rsidR="00B74280" w:rsidRPr="00B74280" w:rsidRDefault="00B74280" w:rsidP="00364493">
      <w:pPr>
        <w:jc w:val="center"/>
        <w:rPr>
          <w:b/>
          <w:bCs/>
          <w:u w:val="single"/>
        </w:rPr>
      </w:pPr>
    </w:p>
    <w:p w14:paraId="0EAB82D6" w14:textId="77777777" w:rsidR="0068798D" w:rsidRPr="00B74280" w:rsidRDefault="0068798D" w:rsidP="00364493">
      <w:pPr>
        <w:jc w:val="center"/>
        <w:rPr>
          <w:b/>
          <w:bCs/>
          <w:u w:val="single"/>
        </w:rPr>
      </w:pPr>
      <w:r w:rsidRPr="00B74280">
        <w:rPr>
          <w:b/>
          <w:bCs/>
          <w:u w:val="single"/>
        </w:rPr>
        <w:t>MEMOIRE EN DEFENSE</w:t>
      </w:r>
    </w:p>
    <w:p w14:paraId="64C6FD7E" w14:textId="77777777" w:rsidR="002669F0" w:rsidRDefault="002669F0" w:rsidP="00364493">
      <w:pPr>
        <w:tabs>
          <w:tab w:val="left" w:pos="2552"/>
        </w:tabs>
        <w:jc w:val="both"/>
        <w:rPr>
          <w:b/>
          <w:bCs/>
          <w:u w:val="single"/>
        </w:rPr>
      </w:pPr>
    </w:p>
    <w:p w14:paraId="40F7BBFE" w14:textId="77777777" w:rsidR="002669F0" w:rsidRDefault="002669F0" w:rsidP="00B74280">
      <w:pPr>
        <w:tabs>
          <w:tab w:val="left" w:pos="2552"/>
        </w:tabs>
        <w:ind w:left="2552" w:hanging="2552"/>
        <w:jc w:val="both"/>
        <w:rPr>
          <w:b/>
          <w:bCs/>
          <w:u w:val="single"/>
        </w:rPr>
      </w:pPr>
    </w:p>
    <w:p w14:paraId="7AF3C45B" w14:textId="77777777" w:rsidR="002669F0" w:rsidRDefault="002669F0" w:rsidP="00B74280">
      <w:pPr>
        <w:tabs>
          <w:tab w:val="left" w:pos="2552"/>
        </w:tabs>
        <w:ind w:left="2552" w:hanging="2552"/>
        <w:jc w:val="both"/>
        <w:rPr>
          <w:b/>
          <w:bCs/>
          <w:u w:val="single"/>
        </w:rPr>
      </w:pPr>
    </w:p>
    <w:p w14:paraId="74C0C307" w14:textId="77777777" w:rsidR="002669F0" w:rsidRDefault="0068798D" w:rsidP="00B74280">
      <w:pPr>
        <w:tabs>
          <w:tab w:val="left" w:pos="2552"/>
        </w:tabs>
        <w:ind w:left="2552" w:hanging="2552"/>
        <w:jc w:val="both"/>
        <w:rPr>
          <w:bCs/>
        </w:rPr>
      </w:pPr>
      <w:r w:rsidRPr="00B74280">
        <w:rPr>
          <w:b/>
          <w:bCs/>
          <w:u w:val="single"/>
        </w:rPr>
        <w:t>POUR</w:t>
      </w:r>
      <w:r w:rsidRPr="00B74280">
        <w:rPr>
          <w:b/>
          <w:bCs/>
        </w:rPr>
        <w:t xml:space="preserve"> </w:t>
      </w:r>
      <w:r w:rsidRPr="00B74280">
        <w:rPr>
          <w:bCs/>
        </w:rPr>
        <w:t>:</w:t>
      </w:r>
      <w:r w:rsidR="00B74280" w:rsidRPr="00B74280">
        <w:rPr>
          <w:bCs/>
        </w:rPr>
        <w:tab/>
      </w:r>
      <w:r w:rsidRPr="00B74280">
        <w:rPr>
          <w:bCs/>
        </w:rPr>
        <w:t>Monsieur Marcel MARGUET</w:t>
      </w:r>
    </w:p>
    <w:p w14:paraId="2206DA02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</w:pPr>
    </w:p>
    <w:p w14:paraId="7BE638F1" w14:textId="77777777" w:rsidR="0068798D" w:rsidRPr="00B74280" w:rsidRDefault="00B74280" w:rsidP="00B74280">
      <w:pPr>
        <w:tabs>
          <w:tab w:val="left" w:pos="2552"/>
        </w:tabs>
        <w:ind w:left="2552" w:hanging="2552"/>
        <w:jc w:val="both"/>
        <w:rPr>
          <w:i/>
          <w:iCs/>
        </w:rPr>
      </w:pPr>
      <w:r w:rsidRPr="00B74280">
        <w:rPr>
          <w:i/>
          <w:iCs/>
        </w:rPr>
        <w:tab/>
      </w:r>
      <w:r w:rsidR="0068798D" w:rsidRPr="00B74280">
        <w:rPr>
          <w:i/>
          <w:iCs/>
        </w:rPr>
        <w:t xml:space="preserve">Ayant pour </w:t>
      </w:r>
      <w:proofErr w:type="gramStart"/>
      <w:r w:rsidR="0068798D" w:rsidRPr="00B74280">
        <w:rPr>
          <w:i/>
          <w:iCs/>
        </w:rPr>
        <w:t>Avocat</w:t>
      </w:r>
      <w:proofErr w:type="gramEnd"/>
      <w:r w:rsidR="0068798D" w:rsidRPr="00B74280">
        <w:rPr>
          <w:i/>
          <w:iCs/>
        </w:rPr>
        <w:t xml:space="preserve"> à la Cour de cassation la SCP GATINEAU – FATTACCINI</w:t>
      </w:r>
    </w:p>
    <w:p w14:paraId="4A237AEC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</w:pPr>
    </w:p>
    <w:p w14:paraId="4E2F95DC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</w:pPr>
    </w:p>
    <w:p w14:paraId="129508DE" w14:textId="77777777" w:rsidR="007829C4" w:rsidRPr="00B74280" w:rsidRDefault="0068798D" w:rsidP="00B74280">
      <w:pPr>
        <w:tabs>
          <w:tab w:val="left" w:pos="2552"/>
        </w:tabs>
        <w:ind w:left="2552" w:hanging="2552"/>
        <w:jc w:val="both"/>
        <w:rPr>
          <w:bCs/>
        </w:rPr>
      </w:pPr>
      <w:r w:rsidRPr="00B74280">
        <w:rPr>
          <w:b/>
          <w:bCs/>
          <w:u w:val="single"/>
        </w:rPr>
        <w:t>CONTRE</w:t>
      </w:r>
      <w:r w:rsidRPr="00B74280">
        <w:rPr>
          <w:b/>
          <w:bCs/>
        </w:rPr>
        <w:t xml:space="preserve"> </w:t>
      </w:r>
      <w:r w:rsidRPr="00B74280">
        <w:rPr>
          <w:bCs/>
        </w:rPr>
        <w:t>:</w:t>
      </w:r>
      <w:r w:rsidR="00B74280" w:rsidRPr="00B74280">
        <w:rPr>
          <w:bCs/>
        </w:rPr>
        <w:tab/>
      </w:r>
      <w:r w:rsidRPr="00B74280">
        <w:rPr>
          <w:bCs/>
        </w:rPr>
        <w:t>la CAISSE D’ASSURANCE VIEILLESSE INVALIDITE DES CULTES (CAVIMAC)</w:t>
      </w:r>
    </w:p>
    <w:p w14:paraId="7A81EE5B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  <w:rPr>
          <w:b/>
        </w:rPr>
      </w:pPr>
    </w:p>
    <w:p w14:paraId="65A224B9" w14:textId="77777777" w:rsidR="0068798D" w:rsidRPr="00B74280" w:rsidRDefault="00B74280" w:rsidP="00B74280">
      <w:pPr>
        <w:tabs>
          <w:tab w:val="left" w:pos="2552"/>
        </w:tabs>
        <w:ind w:left="2552" w:hanging="2552"/>
        <w:jc w:val="both"/>
        <w:rPr>
          <w:i/>
          <w:iCs/>
        </w:rPr>
      </w:pPr>
      <w:r w:rsidRPr="00B74280">
        <w:rPr>
          <w:i/>
          <w:iCs/>
        </w:rPr>
        <w:tab/>
      </w:r>
      <w:r w:rsidR="0068798D" w:rsidRPr="00B74280">
        <w:rPr>
          <w:i/>
          <w:iCs/>
        </w:rPr>
        <w:t xml:space="preserve">Ayant pour </w:t>
      </w:r>
      <w:proofErr w:type="gramStart"/>
      <w:r w:rsidR="0068798D" w:rsidRPr="00B74280">
        <w:rPr>
          <w:i/>
          <w:iCs/>
        </w:rPr>
        <w:t>Avocat</w:t>
      </w:r>
      <w:proofErr w:type="gramEnd"/>
      <w:r w:rsidR="0068798D" w:rsidRPr="00B74280">
        <w:rPr>
          <w:i/>
          <w:iCs/>
        </w:rPr>
        <w:t xml:space="preserve"> à la Cour de cassation la SCP WAQUET</w:t>
      </w:r>
      <w:r w:rsidRPr="00B74280">
        <w:rPr>
          <w:i/>
          <w:iCs/>
        </w:rPr>
        <w:t xml:space="preserve"> </w:t>
      </w:r>
      <w:r w:rsidR="0068798D" w:rsidRPr="00B74280">
        <w:rPr>
          <w:i/>
          <w:iCs/>
        </w:rPr>
        <w:t>-</w:t>
      </w:r>
      <w:r w:rsidRPr="00B74280">
        <w:rPr>
          <w:i/>
          <w:iCs/>
        </w:rPr>
        <w:t xml:space="preserve"> </w:t>
      </w:r>
      <w:r w:rsidR="0068798D" w:rsidRPr="00B74280">
        <w:rPr>
          <w:i/>
          <w:iCs/>
        </w:rPr>
        <w:t>FARGE</w:t>
      </w:r>
      <w:r w:rsidRPr="00B74280">
        <w:rPr>
          <w:i/>
          <w:iCs/>
        </w:rPr>
        <w:t xml:space="preserve"> </w:t>
      </w:r>
      <w:r w:rsidR="0068798D" w:rsidRPr="00B74280">
        <w:rPr>
          <w:i/>
          <w:iCs/>
        </w:rPr>
        <w:t>-</w:t>
      </w:r>
      <w:r w:rsidRPr="00B74280">
        <w:rPr>
          <w:i/>
          <w:iCs/>
        </w:rPr>
        <w:t xml:space="preserve"> </w:t>
      </w:r>
      <w:r w:rsidR="0068798D" w:rsidRPr="00B74280">
        <w:rPr>
          <w:i/>
          <w:iCs/>
        </w:rPr>
        <w:t>HAZAN</w:t>
      </w:r>
    </w:p>
    <w:p w14:paraId="1867BD3A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</w:pPr>
    </w:p>
    <w:p w14:paraId="5ED322C0" w14:textId="77777777" w:rsidR="0068798D" w:rsidRPr="00B74280" w:rsidRDefault="0068798D" w:rsidP="00B74280">
      <w:pPr>
        <w:tabs>
          <w:tab w:val="left" w:pos="2552"/>
        </w:tabs>
        <w:ind w:left="2552" w:hanging="2552"/>
        <w:jc w:val="both"/>
      </w:pPr>
    </w:p>
    <w:p w14:paraId="64E900EE" w14:textId="77777777" w:rsidR="002669F0" w:rsidRDefault="00B74280" w:rsidP="00B74280">
      <w:pPr>
        <w:tabs>
          <w:tab w:val="left" w:pos="2552"/>
        </w:tabs>
        <w:ind w:left="2552" w:hanging="2552"/>
        <w:jc w:val="both"/>
      </w:pPr>
      <w:r w:rsidRPr="00B74280">
        <w:rPr>
          <w:b/>
          <w:u w:val="single"/>
        </w:rPr>
        <w:t>EN PRESENCE DE</w:t>
      </w:r>
      <w:r w:rsidRPr="00B74280">
        <w:rPr>
          <w:b/>
        </w:rPr>
        <w:t> :</w:t>
      </w:r>
      <w:r w:rsidRPr="00B74280">
        <w:tab/>
        <w:t xml:space="preserve">la </w:t>
      </w:r>
      <w:r w:rsidR="0068798D" w:rsidRPr="00B74280">
        <w:t>CONGREGATION DES MONTFORTAINS</w:t>
      </w:r>
    </w:p>
    <w:p w14:paraId="59D59ADA" w14:textId="77777777" w:rsidR="0068798D" w:rsidRPr="00B74280" w:rsidRDefault="0068798D" w:rsidP="00364493">
      <w:pPr>
        <w:jc w:val="both"/>
      </w:pPr>
    </w:p>
    <w:p w14:paraId="72A288B7" w14:textId="77777777" w:rsidR="0068798D" w:rsidRPr="00B74280" w:rsidRDefault="0068798D" w:rsidP="00364493">
      <w:pPr>
        <w:jc w:val="both"/>
      </w:pPr>
    </w:p>
    <w:p w14:paraId="6063C76B" w14:textId="77777777" w:rsidR="002669F0" w:rsidRDefault="0068798D" w:rsidP="00364493">
      <w:pPr>
        <w:jc w:val="center"/>
        <w:rPr>
          <w:b/>
          <w:bCs/>
          <w:u w:val="single"/>
        </w:rPr>
      </w:pPr>
      <w:r w:rsidRPr="00B74280">
        <w:rPr>
          <w:b/>
          <w:bCs/>
          <w:u w:val="single"/>
        </w:rPr>
        <w:t xml:space="preserve">Observations </w:t>
      </w:r>
      <w:r w:rsidR="00B82898" w:rsidRPr="00B74280">
        <w:rPr>
          <w:b/>
          <w:bCs/>
          <w:u w:val="single"/>
        </w:rPr>
        <w:t xml:space="preserve">sur le </w:t>
      </w:r>
      <w:r w:rsidRPr="00B74280">
        <w:rPr>
          <w:b/>
          <w:bCs/>
          <w:u w:val="single"/>
        </w:rPr>
        <w:t xml:space="preserve">pourvoi n° </w:t>
      </w:r>
      <w:r w:rsidR="002669F0">
        <w:rPr>
          <w:b/>
          <w:bCs/>
          <w:u w:val="single"/>
        </w:rPr>
        <w:t>H 13-27382</w:t>
      </w:r>
    </w:p>
    <w:p w14:paraId="6EE64649" w14:textId="77777777" w:rsidR="002669F0" w:rsidRDefault="002669F0" w:rsidP="00364493">
      <w:pPr>
        <w:jc w:val="center"/>
        <w:rPr>
          <w:b/>
          <w:bCs/>
          <w:u w:val="single"/>
        </w:rPr>
      </w:pPr>
    </w:p>
    <w:p w14:paraId="13234660" w14:textId="77777777" w:rsidR="0068798D" w:rsidRPr="00364493" w:rsidRDefault="002669F0" w:rsidP="00364493">
      <w:pPr>
        <w:jc w:val="center"/>
        <w:rPr>
          <w:bCs/>
          <w:u w:val="single"/>
        </w:rPr>
      </w:pPr>
      <w:r w:rsidRPr="00364493">
        <w:rPr>
          <w:bCs/>
        </w:rPr>
        <w:t>(</w:t>
      </w:r>
      <w:r w:rsidRPr="00364493">
        <w:rPr>
          <w:bCs/>
          <w:u w:val="single"/>
        </w:rPr>
        <w:t xml:space="preserve">en connexité du pourvoi n° </w:t>
      </w:r>
      <w:r w:rsidR="0068798D" w:rsidRPr="00364493">
        <w:rPr>
          <w:bCs/>
          <w:u w:val="single"/>
        </w:rPr>
        <w:t>R 13-23181</w:t>
      </w:r>
      <w:r w:rsidRPr="00364493">
        <w:rPr>
          <w:bCs/>
        </w:rPr>
        <w:t>)</w:t>
      </w:r>
    </w:p>
    <w:p w14:paraId="4B4F7B0F" w14:textId="77777777" w:rsidR="0068798D" w:rsidRPr="00B74280" w:rsidRDefault="0068798D" w:rsidP="00364493">
      <w:pPr>
        <w:rPr>
          <w:b/>
          <w:bCs/>
          <w:u w:val="single"/>
        </w:rPr>
      </w:pPr>
    </w:p>
    <w:p w14:paraId="4330D267" w14:textId="77777777" w:rsidR="00677D2F" w:rsidRDefault="00677D2F" w:rsidP="00364493">
      <w:pPr>
        <w:rPr>
          <w:b/>
          <w:bCs/>
          <w:u w:val="single"/>
        </w:rPr>
      </w:pPr>
    </w:p>
    <w:p w14:paraId="43049F19" w14:textId="77777777" w:rsidR="00B74280" w:rsidRPr="00B74280" w:rsidRDefault="00B74280" w:rsidP="00364493">
      <w:pPr>
        <w:rPr>
          <w:b/>
          <w:bCs/>
          <w:u w:val="single"/>
        </w:rPr>
      </w:pPr>
    </w:p>
    <w:p w14:paraId="23584838" w14:textId="77777777" w:rsidR="0068798D" w:rsidRPr="00B74280" w:rsidRDefault="0068798D" w:rsidP="00364493">
      <w:pPr>
        <w:jc w:val="center"/>
        <w:rPr>
          <w:b/>
          <w:bCs/>
          <w:u w:val="single"/>
        </w:rPr>
      </w:pPr>
      <w:r w:rsidRPr="00B74280">
        <w:rPr>
          <w:b/>
          <w:bCs/>
          <w:u w:val="single"/>
        </w:rPr>
        <w:t>FAITS ET PROCEDURE</w:t>
      </w:r>
    </w:p>
    <w:p w14:paraId="0CD7406C" w14:textId="77777777" w:rsidR="0068798D" w:rsidRPr="00B74280" w:rsidRDefault="0068798D" w:rsidP="00364493">
      <w:pPr>
        <w:jc w:val="both"/>
      </w:pPr>
    </w:p>
    <w:p w14:paraId="38CF2BED" w14:textId="77777777" w:rsidR="0068798D" w:rsidRPr="00B74280" w:rsidRDefault="00C8237F" w:rsidP="00B74280">
      <w:pPr>
        <w:ind w:firstLine="709"/>
        <w:jc w:val="both"/>
      </w:pPr>
      <w:r w:rsidRPr="00B74280">
        <w:rPr>
          <w:b/>
        </w:rPr>
        <w:t xml:space="preserve">I- </w:t>
      </w:r>
      <w:r w:rsidR="0068798D" w:rsidRPr="00B74280">
        <w:t>Le</w:t>
      </w:r>
      <w:r w:rsidR="00DB3CC0" w:rsidRPr="00B74280">
        <w:t xml:space="preserve"> 1</w:t>
      </w:r>
      <w:r w:rsidR="00DB3CC0" w:rsidRPr="00B74280">
        <w:rPr>
          <w:vertAlign w:val="superscript"/>
        </w:rPr>
        <w:t>er</w:t>
      </w:r>
      <w:r w:rsidR="00DB3CC0" w:rsidRPr="00B74280">
        <w:t xml:space="preserve"> septembre 1953</w:t>
      </w:r>
      <w:r w:rsidR="0068798D" w:rsidRPr="00B74280">
        <w:t>, Monsieur</w:t>
      </w:r>
      <w:r w:rsidR="006F155A" w:rsidRPr="00B74280">
        <w:t xml:space="preserve"> Marcel MARGUET</w:t>
      </w:r>
      <w:r w:rsidR="0068798D" w:rsidRPr="00B74280">
        <w:t xml:space="preserve">, exposant, entrait </w:t>
      </w:r>
      <w:r w:rsidR="006F155A" w:rsidRPr="00B74280">
        <w:t>en religion</w:t>
      </w:r>
      <w:r w:rsidR="00DB3CC0" w:rsidRPr="00B74280">
        <w:t xml:space="preserve"> en s’engageant au sein de la CONGREGATION DES MONTFORTAINS.</w:t>
      </w:r>
    </w:p>
    <w:p w14:paraId="7ED501E1" w14:textId="77777777" w:rsidR="00DB3CC0" w:rsidRPr="00B74280" w:rsidRDefault="00DB3CC0" w:rsidP="00B74280">
      <w:pPr>
        <w:ind w:firstLine="709"/>
        <w:jc w:val="both"/>
      </w:pPr>
    </w:p>
    <w:p w14:paraId="4CB60C53" w14:textId="77777777" w:rsidR="00DB3CC0" w:rsidRPr="00B74280" w:rsidRDefault="00DB3CC0" w:rsidP="00B74280">
      <w:pPr>
        <w:ind w:firstLine="709"/>
        <w:jc w:val="both"/>
      </w:pPr>
      <w:r w:rsidRPr="00B74280">
        <w:t>Il y accomplissait un noviciat jusqu’au 8 septembre 1954, date à laquelle</w:t>
      </w:r>
      <w:r w:rsidR="000E3E5A" w:rsidRPr="00B74280">
        <w:t xml:space="preserve"> il émettait ses premiers vœux, devenant ainsi profès.</w:t>
      </w:r>
    </w:p>
    <w:p w14:paraId="7F03A217" w14:textId="77777777" w:rsidR="006F155A" w:rsidRPr="00B74280" w:rsidRDefault="006F155A" w:rsidP="00B74280">
      <w:pPr>
        <w:ind w:firstLine="709"/>
        <w:jc w:val="both"/>
      </w:pPr>
    </w:p>
    <w:p w14:paraId="496E59AC" w14:textId="77777777" w:rsidR="0068798D" w:rsidRPr="00B74280" w:rsidRDefault="00DB3CC0" w:rsidP="00B74280">
      <w:pPr>
        <w:ind w:firstLine="709"/>
        <w:jc w:val="both"/>
      </w:pPr>
      <w:r w:rsidRPr="00B74280">
        <w:t>Monsieur MARGUET quittait la congrégation le 20 novembre 1972.</w:t>
      </w:r>
    </w:p>
    <w:p w14:paraId="2972E524" w14:textId="77777777" w:rsidR="00DB3CC0" w:rsidRPr="00B74280" w:rsidRDefault="00DB3CC0" w:rsidP="00B74280">
      <w:pPr>
        <w:ind w:firstLine="709"/>
        <w:jc w:val="both"/>
      </w:pPr>
    </w:p>
    <w:p w14:paraId="37CD5EC2" w14:textId="77777777" w:rsidR="0068798D" w:rsidRPr="00B74280" w:rsidRDefault="00444817" w:rsidP="00B74280">
      <w:pPr>
        <w:ind w:firstLine="709"/>
        <w:jc w:val="both"/>
      </w:pPr>
      <w:r w:rsidRPr="00B74280">
        <w:t>Ayant atteint</w:t>
      </w:r>
      <w:r w:rsidR="0068798D" w:rsidRPr="00B74280">
        <w:t xml:space="preserve"> l’âge de 65 ans, Monsieur </w:t>
      </w:r>
      <w:r w:rsidR="006F155A" w:rsidRPr="00B74280">
        <w:t xml:space="preserve">MARGUET </w:t>
      </w:r>
      <w:r w:rsidR="0068798D" w:rsidRPr="00B74280">
        <w:t>sollicitait de la CAVIMAC la liquidation de sa pension de retraite.</w:t>
      </w:r>
    </w:p>
    <w:p w14:paraId="5CB919A8" w14:textId="77777777" w:rsidR="0068798D" w:rsidRPr="00B74280" w:rsidRDefault="0068798D" w:rsidP="00B74280">
      <w:pPr>
        <w:ind w:firstLine="709"/>
        <w:jc w:val="both"/>
      </w:pPr>
    </w:p>
    <w:p w14:paraId="441A326C" w14:textId="77777777" w:rsidR="006F155A" w:rsidRPr="00B74280" w:rsidRDefault="00CE042B" w:rsidP="00B74280">
      <w:pPr>
        <w:ind w:firstLine="709"/>
        <w:jc w:val="both"/>
      </w:pPr>
      <w:r w:rsidRPr="00B74280">
        <w:t>Par lettre simple datée du 17 mars 1997</w:t>
      </w:r>
      <w:r w:rsidR="0068798D" w:rsidRPr="00B74280">
        <w:t xml:space="preserve">, la CAVIMAC notifiait à Monsieur </w:t>
      </w:r>
      <w:r w:rsidRPr="00B74280">
        <w:t xml:space="preserve">MARGUET </w:t>
      </w:r>
      <w:r w:rsidR="0068798D" w:rsidRPr="00B74280">
        <w:t xml:space="preserve">sa décision de lui attribuer une pension à compter du </w:t>
      </w:r>
      <w:r w:rsidRPr="00B74280">
        <w:t>1</w:t>
      </w:r>
      <w:r w:rsidRPr="00B74280">
        <w:rPr>
          <w:vertAlign w:val="superscript"/>
        </w:rPr>
        <w:t>er</w:t>
      </w:r>
      <w:r w:rsidRPr="00B74280">
        <w:t xml:space="preserve"> janvier 1997.</w:t>
      </w:r>
    </w:p>
    <w:p w14:paraId="3C0D44C2" w14:textId="77777777" w:rsidR="00172400" w:rsidRPr="00B74280" w:rsidRDefault="00172400" w:rsidP="00B74280">
      <w:pPr>
        <w:ind w:firstLine="709"/>
        <w:jc w:val="both"/>
      </w:pPr>
    </w:p>
    <w:p w14:paraId="6413930D" w14:textId="77777777" w:rsidR="00172400" w:rsidRPr="00B74280" w:rsidRDefault="00172400" w:rsidP="00B74280">
      <w:pPr>
        <w:ind w:firstLine="709"/>
        <w:jc w:val="both"/>
      </w:pPr>
      <w:r w:rsidRPr="00B74280">
        <w:t>Cette lettre n’indiquait pas à Monsieur MARGUET les voies et délais de recours.</w:t>
      </w:r>
    </w:p>
    <w:p w14:paraId="5DFD4BFD" w14:textId="77777777" w:rsidR="00172400" w:rsidRPr="00B74280" w:rsidRDefault="00172400" w:rsidP="00B74280">
      <w:pPr>
        <w:ind w:firstLine="709"/>
        <w:jc w:val="both"/>
      </w:pPr>
    </w:p>
    <w:p w14:paraId="595902D3" w14:textId="77777777" w:rsidR="00172400" w:rsidRPr="00B74280" w:rsidRDefault="00172400" w:rsidP="00B74280">
      <w:pPr>
        <w:ind w:firstLine="709"/>
        <w:jc w:val="both"/>
      </w:pPr>
      <w:r w:rsidRPr="00B74280">
        <w:t>De ce fait, ignorant la possibilité de saisir la commission de recours amiable dans le délai de deux mois, Monsieur MARGUET, le 29 mars 1997, adressait à la CAVIMAC une lettre de contestation.</w:t>
      </w:r>
    </w:p>
    <w:p w14:paraId="46CE314B" w14:textId="77777777" w:rsidR="00172400" w:rsidRPr="00B74280" w:rsidRDefault="00172400" w:rsidP="00B74280">
      <w:pPr>
        <w:ind w:firstLine="709"/>
        <w:jc w:val="both"/>
      </w:pPr>
    </w:p>
    <w:p w14:paraId="6F45DF83" w14:textId="77777777" w:rsidR="00172400" w:rsidRPr="00B74280" w:rsidRDefault="00172400" w:rsidP="00B74280">
      <w:pPr>
        <w:ind w:firstLine="709"/>
        <w:jc w:val="both"/>
      </w:pPr>
      <w:r w:rsidRPr="00B74280">
        <w:t xml:space="preserve">Faisant preuve de négligence, ainsi qu’elle </w:t>
      </w:r>
      <w:r w:rsidR="00E348A8" w:rsidRPr="00B74280">
        <w:t>devait elle-même l’admettre</w:t>
      </w:r>
      <w:r w:rsidRPr="00B74280">
        <w:t xml:space="preserve">, la CAVIMAC n’y apportait </w:t>
      </w:r>
      <w:proofErr w:type="gramStart"/>
      <w:r w:rsidRPr="00B74280">
        <w:t>réponse que fort</w:t>
      </w:r>
      <w:proofErr w:type="gramEnd"/>
      <w:r w:rsidRPr="00B74280">
        <w:t xml:space="preserve"> tardivement, le 11 juillet 1997, sans au demeurant en profiter pour préciser enfin à Monsieur MARGUET le </w:t>
      </w:r>
      <w:r w:rsidR="00E348A8" w:rsidRPr="00B74280">
        <w:t xml:space="preserve">mode et le </w:t>
      </w:r>
      <w:r w:rsidRPr="00B74280">
        <w:t>délai de recours.</w:t>
      </w:r>
    </w:p>
    <w:p w14:paraId="669C998D" w14:textId="77777777" w:rsidR="00E348A8" w:rsidRPr="00B74280" w:rsidRDefault="00E348A8" w:rsidP="00B74280">
      <w:pPr>
        <w:ind w:firstLine="709"/>
        <w:jc w:val="both"/>
      </w:pPr>
    </w:p>
    <w:p w14:paraId="20BBA4E5" w14:textId="77777777" w:rsidR="00E348A8" w:rsidRPr="00B74280" w:rsidRDefault="00E348A8" w:rsidP="00B74280">
      <w:pPr>
        <w:ind w:firstLine="709"/>
        <w:jc w:val="both"/>
      </w:pPr>
      <w:r w:rsidRPr="00B74280">
        <w:t xml:space="preserve">La CAVIMAC ne cherchait pas davantage à transmettre cette contestation à sa commission de recours amiable. </w:t>
      </w:r>
    </w:p>
    <w:p w14:paraId="59B1A388" w14:textId="77777777" w:rsidR="00CE042B" w:rsidRPr="00B74280" w:rsidRDefault="00CE042B" w:rsidP="00B74280">
      <w:pPr>
        <w:ind w:firstLine="709"/>
        <w:jc w:val="both"/>
      </w:pPr>
    </w:p>
    <w:p w14:paraId="0EDB770B" w14:textId="77777777" w:rsidR="0068798D" w:rsidRPr="00B74280" w:rsidRDefault="0068798D" w:rsidP="00B74280">
      <w:pPr>
        <w:ind w:firstLine="709"/>
        <w:jc w:val="both"/>
      </w:pPr>
      <w:r w:rsidRPr="00B74280">
        <w:t>Le</w:t>
      </w:r>
      <w:r w:rsidR="003B6943" w:rsidRPr="00B74280">
        <w:t xml:space="preserve"> 19 décembre 2008</w:t>
      </w:r>
      <w:r w:rsidRPr="00B74280">
        <w:t xml:space="preserve">, </w:t>
      </w:r>
      <w:r w:rsidR="00172400" w:rsidRPr="00B74280">
        <w:t xml:space="preserve">demeuré dans l’ignorance de ses droits, </w:t>
      </w:r>
      <w:r w:rsidRPr="00B74280">
        <w:t xml:space="preserve">Monsieur </w:t>
      </w:r>
      <w:r w:rsidR="006F155A" w:rsidRPr="00B74280">
        <w:t>MARGUE</w:t>
      </w:r>
      <w:r w:rsidRPr="00B74280">
        <w:t>T saisissait la Commission de recours amiable de la CAVIMAC afin de contester l’absence de prise en compte de</w:t>
      </w:r>
      <w:r w:rsidR="003B6943" w:rsidRPr="00B74280">
        <w:t>s</w:t>
      </w:r>
      <w:r w:rsidRPr="00B74280">
        <w:t xml:space="preserve"> trimestres </w:t>
      </w:r>
      <w:r w:rsidR="003B6943" w:rsidRPr="00B74280">
        <w:t>antérieurs à l’émission de ses premiers vœux.</w:t>
      </w:r>
    </w:p>
    <w:p w14:paraId="1472A449" w14:textId="77777777" w:rsidR="0068798D" w:rsidRPr="00B74280" w:rsidRDefault="0068798D" w:rsidP="00B74280">
      <w:pPr>
        <w:ind w:firstLine="709"/>
        <w:jc w:val="both"/>
      </w:pPr>
    </w:p>
    <w:p w14:paraId="0D153C58" w14:textId="77777777" w:rsidR="0068798D" w:rsidRPr="00B74280" w:rsidRDefault="0068798D" w:rsidP="00B74280">
      <w:pPr>
        <w:ind w:firstLine="709"/>
        <w:jc w:val="both"/>
      </w:pPr>
      <w:r w:rsidRPr="00B74280">
        <w:rPr>
          <w:b/>
        </w:rPr>
        <w:t>II-</w:t>
      </w:r>
      <w:r w:rsidR="00612613" w:rsidRPr="00B74280">
        <w:t xml:space="preserve"> </w:t>
      </w:r>
      <w:r w:rsidR="000B6D09" w:rsidRPr="00B74280">
        <w:t xml:space="preserve">Le 25 février 2009, </w:t>
      </w:r>
      <w:r w:rsidRPr="00B74280">
        <w:t xml:space="preserve">Monsieur </w:t>
      </w:r>
      <w:r w:rsidR="00612613" w:rsidRPr="00B74280">
        <w:t xml:space="preserve">MARGUET </w:t>
      </w:r>
      <w:r w:rsidRPr="00B74280">
        <w:t xml:space="preserve">saisissait le Tribunal des affaires de sécurité sociale de </w:t>
      </w:r>
      <w:r w:rsidR="003B6943" w:rsidRPr="00B74280">
        <w:t>Besançon</w:t>
      </w:r>
      <w:r w:rsidR="00E348A8" w:rsidRPr="00B74280">
        <w:t xml:space="preserve"> afin de contester la</w:t>
      </w:r>
      <w:r w:rsidRPr="00B74280">
        <w:t xml:space="preserve"> décision</w:t>
      </w:r>
      <w:r w:rsidR="00E348A8" w:rsidRPr="00B74280">
        <w:t xml:space="preserve"> tacite de la Commission de recours amiable de rejet de sa demande de reconnaissance des trimestres antérieurs à l’émission de ses vœux. </w:t>
      </w:r>
    </w:p>
    <w:p w14:paraId="02B8BBD0" w14:textId="77777777" w:rsidR="00E348A8" w:rsidRPr="00B74280" w:rsidRDefault="00E348A8" w:rsidP="00B74280">
      <w:pPr>
        <w:ind w:firstLine="709"/>
        <w:jc w:val="both"/>
      </w:pPr>
    </w:p>
    <w:p w14:paraId="0409C4C0" w14:textId="77777777" w:rsidR="0068798D" w:rsidRPr="00B74280" w:rsidRDefault="00E348A8" w:rsidP="00B74280">
      <w:pPr>
        <w:ind w:firstLine="709"/>
        <w:jc w:val="both"/>
      </w:pPr>
      <w:r w:rsidRPr="00B74280">
        <w:t>Par décision du 11 mai 2009, la Commission de recours amiable confirmait le refus de la Caisse de valider ces trimestres.</w:t>
      </w:r>
    </w:p>
    <w:p w14:paraId="05CDB759" w14:textId="77777777" w:rsidR="00E348A8" w:rsidRPr="00B74280" w:rsidRDefault="00E348A8" w:rsidP="00B74280">
      <w:pPr>
        <w:ind w:firstLine="709"/>
        <w:jc w:val="both"/>
      </w:pPr>
    </w:p>
    <w:p w14:paraId="3FFF8147" w14:textId="77777777" w:rsidR="0068798D" w:rsidRPr="00B74280" w:rsidRDefault="0068798D" w:rsidP="00B74280">
      <w:pPr>
        <w:ind w:firstLine="709"/>
        <w:jc w:val="both"/>
      </w:pPr>
      <w:r w:rsidRPr="00B74280">
        <w:t>Par jugement du</w:t>
      </w:r>
      <w:r w:rsidR="003B6943" w:rsidRPr="00B74280">
        <w:t xml:space="preserve"> 31 mai 2010</w:t>
      </w:r>
      <w:r w:rsidRPr="00B74280">
        <w:t xml:space="preserve">, </w:t>
      </w:r>
      <w:r w:rsidR="003B6943" w:rsidRPr="00B74280">
        <w:t xml:space="preserve">déclaré commun à la </w:t>
      </w:r>
      <w:r w:rsidR="003B6943" w:rsidRPr="00B74280">
        <w:rPr>
          <w:caps/>
        </w:rPr>
        <w:t>congrégation des Montfortains</w:t>
      </w:r>
      <w:r w:rsidR="003B6943" w:rsidRPr="00B74280">
        <w:t xml:space="preserve">, </w:t>
      </w:r>
      <w:r w:rsidRPr="00B74280">
        <w:t>le Tribunal des affaires de sécurité sociale de</w:t>
      </w:r>
      <w:r w:rsidR="003B6943" w:rsidRPr="00B74280">
        <w:t xml:space="preserve"> Besançon constatait que Monsieur MARGUET avait la qualité de membre de la congrégation pour la période du 1</w:t>
      </w:r>
      <w:r w:rsidR="003B6943" w:rsidRPr="00B74280">
        <w:rPr>
          <w:vertAlign w:val="superscript"/>
        </w:rPr>
        <w:t>er</w:t>
      </w:r>
      <w:r w:rsidR="003B6943" w:rsidRPr="00B74280">
        <w:t xml:space="preserve"> septembre 1953 au 8 septembre 1954, infirmait la décision de la commission de recours amiable, condamnait la CAVIMAC à prendre en compte cette période comme période d’assurance vieillesse et renvoyait Monsieur MARGUET devant la Caisse pour la liquidation de ses droits ainsi modifiés.</w:t>
      </w:r>
    </w:p>
    <w:p w14:paraId="480F54F7" w14:textId="77777777" w:rsidR="003B6943" w:rsidRPr="00B74280" w:rsidRDefault="003B6943" w:rsidP="00B74280">
      <w:pPr>
        <w:ind w:firstLine="709"/>
        <w:jc w:val="both"/>
      </w:pPr>
    </w:p>
    <w:p w14:paraId="0F3B6851" w14:textId="77777777" w:rsidR="0068798D" w:rsidRPr="00B74280" w:rsidRDefault="0068798D" w:rsidP="00B74280">
      <w:pPr>
        <w:ind w:firstLine="709"/>
        <w:jc w:val="both"/>
      </w:pPr>
      <w:r w:rsidRPr="00B74280">
        <w:t>Appel de cette décision était interjeté par</w:t>
      </w:r>
      <w:r w:rsidR="003B6943" w:rsidRPr="00B74280">
        <w:t xml:space="preserve"> la CAVIMAC et la CONGREGATION DES MONTFORTAINS.</w:t>
      </w:r>
    </w:p>
    <w:p w14:paraId="751DA412" w14:textId="77777777" w:rsidR="0068798D" w:rsidRPr="00B74280" w:rsidRDefault="0068798D" w:rsidP="00B74280">
      <w:pPr>
        <w:ind w:firstLine="709"/>
        <w:jc w:val="both"/>
      </w:pPr>
    </w:p>
    <w:p w14:paraId="0D2C2CAB" w14:textId="77777777" w:rsidR="006F155A" w:rsidRPr="00B74280" w:rsidRDefault="0068798D" w:rsidP="00B74280">
      <w:pPr>
        <w:ind w:firstLine="709"/>
        <w:jc w:val="both"/>
      </w:pPr>
      <w:r w:rsidRPr="00B74280">
        <w:t>Par arrêt du</w:t>
      </w:r>
      <w:r w:rsidR="003B6943" w:rsidRPr="00B74280">
        <w:t xml:space="preserve"> 27 mai 2011</w:t>
      </w:r>
      <w:r w:rsidRPr="00B74280">
        <w:t xml:space="preserve">, la Cour d’appel de </w:t>
      </w:r>
      <w:r w:rsidR="003B6943" w:rsidRPr="00B74280">
        <w:t>Besançon déci</w:t>
      </w:r>
      <w:r w:rsidR="006B677E" w:rsidRPr="00B74280">
        <w:t xml:space="preserve">dait de sursoir à statuer </w:t>
      </w:r>
      <w:r w:rsidR="00C33B8B" w:rsidRPr="00B74280">
        <w:t>du fait de la saisine du Conseil d’</w:t>
      </w:r>
      <w:proofErr w:type="spellStart"/>
      <w:r w:rsidR="00C33B8B" w:rsidRPr="00B74280">
        <w:t>Etat</w:t>
      </w:r>
      <w:proofErr w:type="spellEnd"/>
      <w:r w:rsidR="00C33B8B" w:rsidRPr="00B74280">
        <w:t xml:space="preserve"> (légalité du règlement intérieur de la CAVIMAC) et de la Cour de cassation (droit à assujettissement y compris pour les non profès).</w:t>
      </w:r>
    </w:p>
    <w:p w14:paraId="72BA65C6" w14:textId="77777777" w:rsidR="00C33B8B" w:rsidRPr="00B74280" w:rsidRDefault="00C33B8B" w:rsidP="00B74280">
      <w:pPr>
        <w:ind w:firstLine="709"/>
        <w:jc w:val="both"/>
      </w:pPr>
    </w:p>
    <w:p w14:paraId="73DF4BF8" w14:textId="77777777" w:rsidR="000B4FB9" w:rsidRPr="00B74280" w:rsidRDefault="00C33B8B" w:rsidP="00B74280">
      <w:pPr>
        <w:ind w:firstLine="709"/>
        <w:jc w:val="both"/>
      </w:pPr>
      <w:r w:rsidRPr="00B74280">
        <w:t>Puis, par arrêt du 4 juin 2013, la Cour d’appel de Besançon a rejeté l’exception d’irrecevabilité de la d</w:t>
      </w:r>
      <w:r w:rsidR="00517791" w:rsidRPr="00B74280">
        <w:t xml:space="preserve">emande soulevée par la CAVIMAC et, sur le fond, </w:t>
      </w:r>
      <w:r w:rsidRPr="00B74280">
        <w:t>confirmé le jugement entrepris en toutes ses dispositions.</w:t>
      </w:r>
    </w:p>
    <w:p w14:paraId="587270CA" w14:textId="77777777" w:rsidR="00C33B8B" w:rsidRPr="00B74280" w:rsidRDefault="00C33B8B" w:rsidP="00B74280">
      <w:pPr>
        <w:ind w:firstLine="709"/>
        <w:jc w:val="both"/>
      </w:pPr>
    </w:p>
    <w:p w14:paraId="395DCD6D" w14:textId="77777777" w:rsidR="0068798D" w:rsidRPr="00B74280" w:rsidRDefault="002669F0" w:rsidP="00B74280">
      <w:pPr>
        <w:ind w:firstLine="709"/>
        <w:jc w:val="both"/>
      </w:pPr>
      <w:r>
        <w:t>C’est l’arrêt attaqué</w:t>
      </w:r>
      <w:r w:rsidR="0068798D" w:rsidRPr="00B74280">
        <w:t xml:space="preserve"> par le pourvoi </w:t>
      </w:r>
      <w:r>
        <w:t xml:space="preserve">n° R 13-23181 à l’appui duquel </w:t>
      </w:r>
      <w:r w:rsidR="00C33B8B" w:rsidRPr="00B74280">
        <w:t xml:space="preserve">l’exposant </w:t>
      </w:r>
      <w:r>
        <w:t xml:space="preserve">a </w:t>
      </w:r>
      <w:r w:rsidR="00C33B8B" w:rsidRPr="00B74280">
        <w:t>form</w:t>
      </w:r>
      <w:r>
        <w:t>é</w:t>
      </w:r>
      <w:r w:rsidR="00C33B8B" w:rsidRPr="00B74280">
        <w:t xml:space="preserve"> un pourvoi incident sur le chef du dispositif lui faisant grief.</w:t>
      </w:r>
    </w:p>
    <w:p w14:paraId="5E9E927B" w14:textId="77777777" w:rsidR="000B4FB9" w:rsidRPr="00B74280" w:rsidRDefault="000B4FB9" w:rsidP="00B74280">
      <w:pPr>
        <w:ind w:firstLine="709"/>
        <w:jc w:val="both"/>
      </w:pPr>
    </w:p>
    <w:p w14:paraId="04666841" w14:textId="77777777" w:rsidR="000B4FB9" w:rsidRDefault="002669F0" w:rsidP="00B74280">
      <w:pPr>
        <w:ind w:firstLine="709"/>
        <w:jc w:val="both"/>
      </w:pPr>
      <w:r>
        <w:t xml:space="preserve">Par </w:t>
      </w:r>
      <w:r w:rsidR="000B4FB9" w:rsidRPr="00B74280">
        <w:t xml:space="preserve">arrêt </w:t>
      </w:r>
      <w:r>
        <w:t xml:space="preserve">en date du </w:t>
      </w:r>
      <w:r w:rsidR="000B4FB9" w:rsidRPr="00B74280">
        <w:t xml:space="preserve">4 octobre 2013, la </w:t>
      </w:r>
      <w:r w:rsidRPr="00B74280">
        <w:t xml:space="preserve">Cour d’appel de Besançon </w:t>
      </w:r>
      <w:r w:rsidR="000B4FB9" w:rsidRPr="00B74280">
        <w:t>a rejeté la requête en interprétation formée par la CAVIMAC aux fins de voir indiquer la date à partir de laquelle ses services devaient réviser le montant des droits à pension de vieillesse de Monsieur MARGUET.</w:t>
      </w:r>
    </w:p>
    <w:p w14:paraId="67BA4AD8" w14:textId="77777777" w:rsidR="002669F0" w:rsidRDefault="002669F0" w:rsidP="00B74280">
      <w:pPr>
        <w:ind w:firstLine="709"/>
        <w:jc w:val="both"/>
      </w:pPr>
    </w:p>
    <w:p w14:paraId="70D63A60" w14:textId="77777777" w:rsidR="002669F0" w:rsidRDefault="002669F0" w:rsidP="00B74280">
      <w:pPr>
        <w:ind w:firstLine="709"/>
        <w:jc w:val="both"/>
      </w:pPr>
      <w:r>
        <w:t>C’est l’arrêt attaqué par le présent pourvoi n° H 13-27382 auquel l’exposante vient défendre.</w:t>
      </w:r>
    </w:p>
    <w:p w14:paraId="658A6305" w14:textId="77777777" w:rsidR="002669F0" w:rsidRDefault="002669F0" w:rsidP="00B74280">
      <w:pPr>
        <w:ind w:firstLine="709"/>
        <w:jc w:val="both"/>
      </w:pPr>
    </w:p>
    <w:p w14:paraId="09059142" w14:textId="77777777" w:rsidR="0068798D" w:rsidRPr="00B74280" w:rsidRDefault="002669F0" w:rsidP="002669F0">
      <w:pPr>
        <w:jc w:val="center"/>
        <w:rPr>
          <w:b/>
          <w:bCs/>
          <w:u w:val="single"/>
        </w:rPr>
      </w:pPr>
      <w:r>
        <w:br w:type="page"/>
      </w:r>
      <w:r w:rsidR="0068798D" w:rsidRPr="00B74280">
        <w:rPr>
          <w:b/>
          <w:bCs/>
          <w:u w:val="single"/>
        </w:rPr>
        <w:lastRenderedPageBreak/>
        <w:t>DISCUSSION</w:t>
      </w:r>
    </w:p>
    <w:p w14:paraId="35A24DAB" w14:textId="77777777" w:rsidR="0068798D" w:rsidRPr="00B74280" w:rsidRDefault="0068798D" w:rsidP="002669F0">
      <w:pPr>
        <w:rPr>
          <w:b/>
          <w:bCs/>
          <w:u w:val="single"/>
        </w:rPr>
      </w:pPr>
    </w:p>
    <w:p w14:paraId="2E8A77E8" w14:textId="77777777" w:rsidR="0068798D" w:rsidRPr="00364493" w:rsidRDefault="0068798D" w:rsidP="00B74280">
      <w:pPr>
        <w:ind w:firstLine="709"/>
        <w:jc w:val="both"/>
        <w:rPr>
          <w:u w:val="single"/>
        </w:rPr>
      </w:pPr>
      <w:r w:rsidRPr="00B74280">
        <w:rPr>
          <w:b/>
          <w:bCs/>
        </w:rPr>
        <w:t xml:space="preserve">III- </w:t>
      </w:r>
      <w:r w:rsidRPr="00364493">
        <w:rPr>
          <w:bCs/>
          <w:u w:val="single"/>
        </w:rPr>
        <w:t xml:space="preserve">Sur le moyen </w:t>
      </w:r>
      <w:r w:rsidR="002669F0" w:rsidRPr="00364493">
        <w:rPr>
          <w:bCs/>
          <w:u w:val="single"/>
        </w:rPr>
        <w:t xml:space="preserve">d’annulation tendant à la cassation par voie de conséquence, en application de l’article 625 du Code de </w:t>
      </w:r>
      <w:r w:rsidRPr="00364493">
        <w:rPr>
          <w:u w:val="single"/>
        </w:rPr>
        <w:t>procédure civile</w:t>
      </w:r>
      <w:r w:rsidR="002669F0" w:rsidRPr="00364493">
        <w:rPr>
          <w:u w:val="single"/>
        </w:rPr>
        <w:t>.</w:t>
      </w:r>
    </w:p>
    <w:p w14:paraId="1126D082" w14:textId="77777777" w:rsidR="0068798D" w:rsidRPr="00B74280" w:rsidRDefault="0068798D" w:rsidP="00B74280">
      <w:pPr>
        <w:ind w:firstLine="709"/>
        <w:jc w:val="both"/>
      </w:pPr>
    </w:p>
    <w:p w14:paraId="1919BACF" w14:textId="77777777" w:rsidR="002669F0" w:rsidRPr="00B74280" w:rsidRDefault="0068798D" w:rsidP="002669F0">
      <w:pPr>
        <w:ind w:firstLine="709"/>
        <w:jc w:val="both"/>
      </w:pPr>
      <w:r w:rsidRPr="00B74280">
        <w:rPr>
          <w:spacing w:val="-2"/>
          <w:u w:val="single"/>
        </w:rPr>
        <w:t xml:space="preserve">Dans </w:t>
      </w:r>
      <w:r w:rsidR="002669F0">
        <w:rPr>
          <w:spacing w:val="-2"/>
          <w:u w:val="single"/>
        </w:rPr>
        <w:t>son unique branche</w:t>
      </w:r>
      <w:r w:rsidRPr="00B74280">
        <w:rPr>
          <w:spacing w:val="-2"/>
        </w:rPr>
        <w:t xml:space="preserve">, la CAVIMAC </w:t>
      </w:r>
      <w:r w:rsidR="002669F0">
        <w:rPr>
          <w:spacing w:val="-2"/>
        </w:rPr>
        <w:t xml:space="preserve">sollicite la cassation par voie de conséquence de l’arrêt du 4 octobre 2013 de la Cour d’appel de Besançon qui </w:t>
      </w:r>
      <w:r w:rsidR="002669F0" w:rsidRPr="00B74280">
        <w:t>a retenu que la CAVIMAC ne pouvait lui soumettre, par le biais d’une requête en interprétation, l’examen d’un nouveau moyen tendant à limiter les effets de la reconnaissance du droit au profit de Monsieur MARGUET, en sollicitant l’application des règles de la prescription extinctive.</w:t>
      </w:r>
    </w:p>
    <w:p w14:paraId="0B2057CA" w14:textId="77777777" w:rsidR="002669F0" w:rsidRDefault="002669F0" w:rsidP="00B74280">
      <w:pPr>
        <w:ind w:firstLine="709"/>
        <w:jc w:val="both"/>
        <w:rPr>
          <w:spacing w:val="-2"/>
        </w:rPr>
      </w:pPr>
    </w:p>
    <w:p w14:paraId="72D4A9E2" w14:textId="77777777" w:rsidR="00207715" w:rsidRPr="00B74280" w:rsidRDefault="00621818" w:rsidP="00B74280">
      <w:pPr>
        <w:ind w:firstLine="709"/>
        <w:jc w:val="both"/>
      </w:pPr>
      <w:r>
        <w:t>Le rejet inéluctable du pourvoi n° R 13-23181 en ce qu’il a été formé par la CAVIMAC privera d’objet la demande de cassation par voie de conséquence du présent recours formé par la CAVIMAC.</w:t>
      </w:r>
    </w:p>
    <w:p w14:paraId="63864A92" w14:textId="77777777" w:rsidR="00C75917" w:rsidRDefault="00C75917" w:rsidP="00B74280">
      <w:pPr>
        <w:ind w:firstLine="709"/>
        <w:jc w:val="both"/>
      </w:pPr>
    </w:p>
    <w:p w14:paraId="31E7AC77" w14:textId="77777777" w:rsidR="002669F0" w:rsidRDefault="002669F0" w:rsidP="002669F0">
      <w:pPr>
        <w:ind w:firstLine="709"/>
        <w:jc w:val="both"/>
        <w:rPr>
          <w:spacing w:val="-2"/>
        </w:rPr>
      </w:pPr>
    </w:p>
    <w:p w14:paraId="1FD01A83" w14:textId="77777777" w:rsidR="0068798D" w:rsidRPr="00B74280" w:rsidRDefault="005A6FBC" w:rsidP="00B74280">
      <w:pPr>
        <w:ind w:firstLine="709"/>
        <w:jc w:val="both"/>
      </w:pPr>
      <w:r w:rsidRPr="00B74280">
        <w:rPr>
          <w:b/>
        </w:rPr>
        <w:t>I</w:t>
      </w:r>
      <w:r w:rsidR="002669F0">
        <w:rPr>
          <w:b/>
        </w:rPr>
        <w:t>V</w:t>
      </w:r>
      <w:r w:rsidR="0068798D" w:rsidRPr="00B74280">
        <w:rPr>
          <w:b/>
        </w:rPr>
        <w:t xml:space="preserve">- </w:t>
      </w:r>
      <w:r w:rsidR="0068798D" w:rsidRPr="00B74280">
        <w:t xml:space="preserve">Il serait inéquitable de laisser à l’exposant la charge des frais irrépétibles qu’il a </w:t>
      </w:r>
      <w:r w:rsidR="00017DF4" w:rsidRPr="00B74280">
        <w:t>dû</w:t>
      </w:r>
      <w:r w:rsidR="0068798D" w:rsidRPr="00B74280">
        <w:t xml:space="preserve"> exposer afin d’organiser sa défense </w:t>
      </w:r>
      <w:r w:rsidR="00531C3B" w:rsidRPr="00B74280">
        <w:t xml:space="preserve">et former son pourvoi incident </w:t>
      </w:r>
      <w:r w:rsidR="0068798D" w:rsidRPr="00B74280">
        <w:t xml:space="preserve">et que l’on peut estimer à la somme de </w:t>
      </w:r>
      <w:r w:rsidR="00364493">
        <w:t>1.000</w:t>
      </w:r>
      <w:r w:rsidR="0068798D" w:rsidRPr="00B74280">
        <w:t xml:space="preserve"> euros.</w:t>
      </w:r>
    </w:p>
    <w:p w14:paraId="0D95DFCC" w14:textId="77777777" w:rsidR="0068798D" w:rsidRPr="00B74280" w:rsidRDefault="0068798D" w:rsidP="00B74280">
      <w:pPr>
        <w:ind w:firstLine="709"/>
        <w:jc w:val="both"/>
      </w:pPr>
    </w:p>
    <w:p w14:paraId="49B73E2B" w14:textId="77777777" w:rsidR="0068798D" w:rsidRDefault="0068798D" w:rsidP="00B74280">
      <w:pPr>
        <w:ind w:firstLine="709"/>
        <w:jc w:val="both"/>
      </w:pPr>
    </w:p>
    <w:p w14:paraId="15D8E625" w14:textId="77777777" w:rsidR="00B74280" w:rsidRPr="00B74280" w:rsidRDefault="00B74280" w:rsidP="00B74280">
      <w:pPr>
        <w:ind w:firstLine="709"/>
        <w:jc w:val="both"/>
      </w:pPr>
    </w:p>
    <w:p w14:paraId="3D01C9D8" w14:textId="77777777" w:rsidR="0068798D" w:rsidRPr="00B74280" w:rsidRDefault="0068798D" w:rsidP="00B74280">
      <w:pPr>
        <w:ind w:firstLine="709"/>
        <w:jc w:val="both"/>
      </w:pPr>
      <w:r w:rsidRPr="00B74280">
        <w:rPr>
          <w:b/>
          <w:bCs/>
          <w:u w:val="single"/>
        </w:rPr>
        <w:t>PAR CES MOTIFS</w:t>
      </w:r>
      <w:r w:rsidRPr="00B74280">
        <w:rPr>
          <w:b/>
          <w:bCs/>
        </w:rPr>
        <w:t xml:space="preserve">, </w:t>
      </w:r>
      <w:r w:rsidRPr="00B74280">
        <w:t>et tous autres à déduire, produire ou suppléer d’office, l’exposant conclut à ce qu’il plaise à la Cour de cassation de :</w:t>
      </w:r>
    </w:p>
    <w:p w14:paraId="08A94A59" w14:textId="77777777" w:rsidR="0068798D" w:rsidRPr="00B74280" w:rsidRDefault="0068798D" w:rsidP="00B74280">
      <w:pPr>
        <w:ind w:firstLine="709"/>
        <w:jc w:val="both"/>
      </w:pPr>
    </w:p>
    <w:p w14:paraId="6195FADE" w14:textId="77777777" w:rsidR="0068798D" w:rsidRDefault="0068798D" w:rsidP="00B74280">
      <w:pPr>
        <w:numPr>
          <w:ilvl w:val="0"/>
          <w:numId w:val="1"/>
        </w:numPr>
        <w:tabs>
          <w:tab w:val="clear" w:pos="1040"/>
          <w:tab w:val="num" w:pos="993"/>
        </w:tabs>
        <w:suppressAutoHyphens w:val="0"/>
        <w:ind w:left="993" w:hanging="284"/>
        <w:jc w:val="both"/>
      </w:pPr>
      <w:r w:rsidRPr="00B74280">
        <w:rPr>
          <w:b/>
          <w:bCs/>
        </w:rPr>
        <w:t xml:space="preserve">REJETER </w:t>
      </w:r>
      <w:r w:rsidRPr="00B74280">
        <w:t>le pourvoi avec toutes les conséquences de droit</w:t>
      </w:r>
      <w:r w:rsidR="00364493">
        <w:t>,</w:t>
      </w:r>
    </w:p>
    <w:p w14:paraId="51C5FBE0" w14:textId="77777777" w:rsidR="00364493" w:rsidRPr="00B74280" w:rsidRDefault="00364493" w:rsidP="00364493">
      <w:pPr>
        <w:suppressAutoHyphens w:val="0"/>
        <w:ind w:left="993"/>
        <w:jc w:val="both"/>
      </w:pPr>
    </w:p>
    <w:p w14:paraId="335CA96D" w14:textId="77777777" w:rsidR="0068798D" w:rsidRPr="00B74280" w:rsidRDefault="00364493" w:rsidP="00B74280">
      <w:pPr>
        <w:numPr>
          <w:ilvl w:val="0"/>
          <w:numId w:val="1"/>
        </w:numPr>
        <w:tabs>
          <w:tab w:val="clear" w:pos="1040"/>
          <w:tab w:val="num" w:pos="993"/>
        </w:tabs>
        <w:suppressAutoHyphens w:val="0"/>
        <w:ind w:left="993" w:hanging="284"/>
        <w:jc w:val="both"/>
      </w:pPr>
      <w:r>
        <w:t>l</w:t>
      </w:r>
      <w:r w:rsidR="0068798D" w:rsidRPr="00B74280">
        <w:t xml:space="preserve">ui </w:t>
      </w:r>
      <w:r w:rsidR="0068798D" w:rsidRPr="00B74280">
        <w:rPr>
          <w:b/>
          <w:bCs/>
        </w:rPr>
        <w:t xml:space="preserve">ALLOUER </w:t>
      </w:r>
      <w:r w:rsidR="0068798D" w:rsidRPr="00B74280">
        <w:t xml:space="preserve">la somme de </w:t>
      </w:r>
      <w:r>
        <w:t xml:space="preserve">1.000 </w:t>
      </w:r>
      <w:r w:rsidR="0068798D" w:rsidRPr="00B74280">
        <w:t>euros au titre de l’article 700 du Code de procédure civile</w:t>
      </w:r>
    </w:p>
    <w:p w14:paraId="04DC8767" w14:textId="77777777" w:rsidR="0068798D" w:rsidRPr="00B74280" w:rsidRDefault="0068798D" w:rsidP="00182B04"/>
    <w:p w14:paraId="1B4334DD" w14:textId="77777777" w:rsidR="00932AA4" w:rsidRDefault="00932AA4" w:rsidP="00182B04"/>
    <w:sectPr w:rsidR="00932AA4" w:rsidSect="00B74280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8DB0" w14:textId="77777777" w:rsidR="00462D78" w:rsidRDefault="00462D78">
      <w:r>
        <w:separator/>
      </w:r>
    </w:p>
  </w:endnote>
  <w:endnote w:type="continuationSeparator" w:id="0">
    <w:p w14:paraId="7AA9F301" w14:textId="77777777" w:rsidR="00462D78" w:rsidRDefault="0046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17FB" w14:textId="77777777" w:rsidR="00A1349D" w:rsidRDefault="00A1349D" w:rsidP="00CD68FE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21818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ECB2" w14:textId="77777777" w:rsidR="00462D78" w:rsidRDefault="00462D78">
      <w:r>
        <w:separator/>
      </w:r>
    </w:p>
  </w:footnote>
  <w:footnote w:type="continuationSeparator" w:id="0">
    <w:p w14:paraId="76B04AF3" w14:textId="77777777" w:rsidR="00462D78" w:rsidRDefault="0046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/>
      </w:rPr>
    </w:lvl>
  </w:abstractNum>
  <w:abstractNum w:abstractNumId="1" w15:restartNumberingAfterBreak="0">
    <w:nsid w:val="127F4FD7"/>
    <w:multiLevelType w:val="hybridMultilevel"/>
    <w:tmpl w:val="A81471E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98D"/>
    <w:rsid w:val="00001335"/>
    <w:rsid w:val="000174DB"/>
    <w:rsid w:val="00017DF4"/>
    <w:rsid w:val="00031FCC"/>
    <w:rsid w:val="00036194"/>
    <w:rsid w:val="00045FA1"/>
    <w:rsid w:val="00052A0C"/>
    <w:rsid w:val="0005671B"/>
    <w:rsid w:val="00056AFF"/>
    <w:rsid w:val="00063173"/>
    <w:rsid w:val="0008150A"/>
    <w:rsid w:val="0008330B"/>
    <w:rsid w:val="000B4FB9"/>
    <w:rsid w:val="000B6D09"/>
    <w:rsid w:val="000C55E9"/>
    <w:rsid w:val="000C7868"/>
    <w:rsid w:val="000D2D78"/>
    <w:rsid w:val="000E3E5A"/>
    <w:rsid w:val="000F2EFE"/>
    <w:rsid w:val="001163B3"/>
    <w:rsid w:val="0013047F"/>
    <w:rsid w:val="00141F34"/>
    <w:rsid w:val="00150CF3"/>
    <w:rsid w:val="001512EB"/>
    <w:rsid w:val="00152146"/>
    <w:rsid w:val="00172400"/>
    <w:rsid w:val="0018255C"/>
    <w:rsid w:val="00182B04"/>
    <w:rsid w:val="001A350D"/>
    <w:rsid w:val="001B285F"/>
    <w:rsid w:val="001B34D7"/>
    <w:rsid w:val="001C52F1"/>
    <w:rsid w:val="001D5261"/>
    <w:rsid w:val="001D605B"/>
    <w:rsid w:val="001E3876"/>
    <w:rsid w:val="001F66B5"/>
    <w:rsid w:val="002004D9"/>
    <w:rsid w:val="00207715"/>
    <w:rsid w:val="00210313"/>
    <w:rsid w:val="0021052A"/>
    <w:rsid w:val="002445FA"/>
    <w:rsid w:val="002669F0"/>
    <w:rsid w:val="002A64E9"/>
    <w:rsid w:val="002E0CB7"/>
    <w:rsid w:val="002E1048"/>
    <w:rsid w:val="002E651E"/>
    <w:rsid w:val="00300DD3"/>
    <w:rsid w:val="00304874"/>
    <w:rsid w:val="0033464A"/>
    <w:rsid w:val="0034409E"/>
    <w:rsid w:val="00364493"/>
    <w:rsid w:val="00367652"/>
    <w:rsid w:val="00367CEF"/>
    <w:rsid w:val="00382CAB"/>
    <w:rsid w:val="003A15DE"/>
    <w:rsid w:val="003A562C"/>
    <w:rsid w:val="003B1284"/>
    <w:rsid w:val="003B5239"/>
    <w:rsid w:val="003B6114"/>
    <w:rsid w:val="003B6943"/>
    <w:rsid w:val="003D16CF"/>
    <w:rsid w:val="003D18AA"/>
    <w:rsid w:val="003D265B"/>
    <w:rsid w:val="003D5151"/>
    <w:rsid w:val="0040051F"/>
    <w:rsid w:val="00401202"/>
    <w:rsid w:val="004215A5"/>
    <w:rsid w:val="00422482"/>
    <w:rsid w:val="0043294D"/>
    <w:rsid w:val="00437CFF"/>
    <w:rsid w:val="00444817"/>
    <w:rsid w:val="004566B6"/>
    <w:rsid w:val="00462D78"/>
    <w:rsid w:val="0047370A"/>
    <w:rsid w:val="00473AAC"/>
    <w:rsid w:val="00474ECC"/>
    <w:rsid w:val="00480076"/>
    <w:rsid w:val="004819BF"/>
    <w:rsid w:val="004B04DE"/>
    <w:rsid w:val="004E4501"/>
    <w:rsid w:val="004F360C"/>
    <w:rsid w:val="005024DC"/>
    <w:rsid w:val="00504A17"/>
    <w:rsid w:val="00516595"/>
    <w:rsid w:val="00517791"/>
    <w:rsid w:val="00531C3B"/>
    <w:rsid w:val="00532CB7"/>
    <w:rsid w:val="005352E7"/>
    <w:rsid w:val="00537496"/>
    <w:rsid w:val="00542566"/>
    <w:rsid w:val="00555668"/>
    <w:rsid w:val="00562A5D"/>
    <w:rsid w:val="0056692C"/>
    <w:rsid w:val="0058369B"/>
    <w:rsid w:val="005A6FBC"/>
    <w:rsid w:val="005C1D68"/>
    <w:rsid w:val="005C26E0"/>
    <w:rsid w:val="005C444B"/>
    <w:rsid w:val="005C7611"/>
    <w:rsid w:val="005D7B24"/>
    <w:rsid w:val="005E59D7"/>
    <w:rsid w:val="005E67BB"/>
    <w:rsid w:val="005F24D1"/>
    <w:rsid w:val="00600908"/>
    <w:rsid w:val="006113FC"/>
    <w:rsid w:val="00612613"/>
    <w:rsid w:val="00621818"/>
    <w:rsid w:val="00625DE9"/>
    <w:rsid w:val="00626620"/>
    <w:rsid w:val="006304D7"/>
    <w:rsid w:val="00640C1A"/>
    <w:rsid w:val="006418B0"/>
    <w:rsid w:val="0064526B"/>
    <w:rsid w:val="00651A06"/>
    <w:rsid w:val="006740F8"/>
    <w:rsid w:val="00677D2F"/>
    <w:rsid w:val="0068798D"/>
    <w:rsid w:val="006910C0"/>
    <w:rsid w:val="006B1C03"/>
    <w:rsid w:val="006B4BB9"/>
    <w:rsid w:val="006B677E"/>
    <w:rsid w:val="006B6CB5"/>
    <w:rsid w:val="006D1403"/>
    <w:rsid w:val="006E2CA8"/>
    <w:rsid w:val="006F155A"/>
    <w:rsid w:val="00705862"/>
    <w:rsid w:val="00710A28"/>
    <w:rsid w:val="0071147F"/>
    <w:rsid w:val="00755AB9"/>
    <w:rsid w:val="00756F1E"/>
    <w:rsid w:val="00766E24"/>
    <w:rsid w:val="007829C4"/>
    <w:rsid w:val="007A3D41"/>
    <w:rsid w:val="007A5987"/>
    <w:rsid w:val="007A7683"/>
    <w:rsid w:val="007C7A4C"/>
    <w:rsid w:val="007E77F2"/>
    <w:rsid w:val="00800183"/>
    <w:rsid w:val="00822819"/>
    <w:rsid w:val="00853FAD"/>
    <w:rsid w:val="008603EA"/>
    <w:rsid w:val="00870818"/>
    <w:rsid w:val="00875206"/>
    <w:rsid w:val="00876D97"/>
    <w:rsid w:val="008775F3"/>
    <w:rsid w:val="008863D4"/>
    <w:rsid w:val="00891A52"/>
    <w:rsid w:val="00895AF9"/>
    <w:rsid w:val="008A406D"/>
    <w:rsid w:val="008B3D27"/>
    <w:rsid w:val="008F0DCC"/>
    <w:rsid w:val="008F3945"/>
    <w:rsid w:val="00903B1B"/>
    <w:rsid w:val="009234CF"/>
    <w:rsid w:val="00932AA4"/>
    <w:rsid w:val="00944F89"/>
    <w:rsid w:val="00945F23"/>
    <w:rsid w:val="00952C94"/>
    <w:rsid w:val="00953CA3"/>
    <w:rsid w:val="00956D4F"/>
    <w:rsid w:val="00962480"/>
    <w:rsid w:val="009647B6"/>
    <w:rsid w:val="00971661"/>
    <w:rsid w:val="009771BA"/>
    <w:rsid w:val="009877BE"/>
    <w:rsid w:val="009929D2"/>
    <w:rsid w:val="00993911"/>
    <w:rsid w:val="009A5F27"/>
    <w:rsid w:val="009D455E"/>
    <w:rsid w:val="009E4BB0"/>
    <w:rsid w:val="009F67D2"/>
    <w:rsid w:val="00A1097E"/>
    <w:rsid w:val="00A10F16"/>
    <w:rsid w:val="00A1349D"/>
    <w:rsid w:val="00A261F6"/>
    <w:rsid w:val="00A37F02"/>
    <w:rsid w:val="00A51F2C"/>
    <w:rsid w:val="00A6696A"/>
    <w:rsid w:val="00A7644D"/>
    <w:rsid w:val="00A77903"/>
    <w:rsid w:val="00A917B7"/>
    <w:rsid w:val="00A97176"/>
    <w:rsid w:val="00AC35F5"/>
    <w:rsid w:val="00B01B4B"/>
    <w:rsid w:val="00B01F2A"/>
    <w:rsid w:val="00B12C13"/>
    <w:rsid w:val="00B149E0"/>
    <w:rsid w:val="00B23A91"/>
    <w:rsid w:val="00B74280"/>
    <w:rsid w:val="00B82898"/>
    <w:rsid w:val="00B91B2B"/>
    <w:rsid w:val="00BA13BF"/>
    <w:rsid w:val="00BD799D"/>
    <w:rsid w:val="00BE0320"/>
    <w:rsid w:val="00BE4850"/>
    <w:rsid w:val="00BE714D"/>
    <w:rsid w:val="00BF6AB6"/>
    <w:rsid w:val="00C01087"/>
    <w:rsid w:val="00C0325C"/>
    <w:rsid w:val="00C05AA6"/>
    <w:rsid w:val="00C20A31"/>
    <w:rsid w:val="00C22189"/>
    <w:rsid w:val="00C234B5"/>
    <w:rsid w:val="00C33B8B"/>
    <w:rsid w:val="00C5520A"/>
    <w:rsid w:val="00C67AE8"/>
    <w:rsid w:val="00C719BC"/>
    <w:rsid w:val="00C75917"/>
    <w:rsid w:val="00C77F5F"/>
    <w:rsid w:val="00C8237F"/>
    <w:rsid w:val="00C83926"/>
    <w:rsid w:val="00CA00CE"/>
    <w:rsid w:val="00CA2098"/>
    <w:rsid w:val="00CC72A0"/>
    <w:rsid w:val="00CD278E"/>
    <w:rsid w:val="00CD68FE"/>
    <w:rsid w:val="00CD7104"/>
    <w:rsid w:val="00CE042B"/>
    <w:rsid w:val="00CE4CBD"/>
    <w:rsid w:val="00CF23AC"/>
    <w:rsid w:val="00D0712B"/>
    <w:rsid w:val="00D10584"/>
    <w:rsid w:val="00D3593E"/>
    <w:rsid w:val="00D359C7"/>
    <w:rsid w:val="00D619F7"/>
    <w:rsid w:val="00D72B6A"/>
    <w:rsid w:val="00D763E6"/>
    <w:rsid w:val="00D8464F"/>
    <w:rsid w:val="00DA0FC3"/>
    <w:rsid w:val="00DA114C"/>
    <w:rsid w:val="00DB3CC0"/>
    <w:rsid w:val="00DC75FB"/>
    <w:rsid w:val="00DE13AC"/>
    <w:rsid w:val="00E22B1B"/>
    <w:rsid w:val="00E348A8"/>
    <w:rsid w:val="00E360ED"/>
    <w:rsid w:val="00E601A1"/>
    <w:rsid w:val="00E64C2A"/>
    <w:rsid w:val="00E7054D"/>
    <w:rsid w:val="00E724E6"/>
    <w:rsid w:val="00E93E9A"/>
    <w:rsid w:val="00E97720"/>
    <w:rsid w:val="00EA446A"/>
    <w:rsid w:val="00EA68EB"/>
    <w:rsid w:val="00EA6AFC"/>
    <w:rsid w:val="00EC5EFC"/>
    <w:rsid w:val="00ED30C1"/>
    <w:rsid w:val="00EE5130"/>
    <w:rsid w:val="00F11A1B"/>
    <w:rsid w:val="00F42CE7"/>
    <w:rsid w:val="00F46498"/>
    <w:rsid w:val="00F63134"/>
    <w:rsid w:val="00F64230"/>
    <w:rsid w:val="00FE6AD8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1CE90"/>
  <w14:defaultImageDpi w14:val="0"/>
  <w15:docId w15:val="{7931DE42-27FB-47AA-ABF1-3FFADFF8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8D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879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character" w:styleId="Numrodepage">
    <w:name w:val="page number"/>
    <w:uiPriority w:val="99"/>
    <w:rsid w:val="0068798D"/>
    <w:rPr>
      <w:rFonts w:cs="Times New Roman"/>
    </w:rPr>
  </w:style>
  <w:style w:type="character" w:customStyle="1" w:styleId="italic">
    <w:name w:val="italic"/>
    <w:uiPriority w:val="99"/>
    <w:rsid w:val="0068798D"/>
    <w:rPr>
      <w:rFonts w:cs="Times New Roman"/>
    </w:rPr>
  </w:style>
  <w:style w:type="character" w:styleId="lev">
    <w:name w:val="Strong"/>
    <w:uiPriority w:val="99"/>
    <w:qFormat/>
    <w:rsid w:val="0068798D"/>
    <w:rPr>
      <w:rFonts w:cs="Times New Roman"/>
      <w:b/>
      <w:bCs/>
    </w:rPr>
  </w:style>
  <w:style w:type="character" w:customStyle="1" w:styleId="verdana">
    <w:name w:val="verdana"/>
    <w:uiPriority w:val="99"/>
    <w:rsid w:val="0068798D"/>
    <w:rPr>
      <w:rFonts w:cs="Times New Roman"/>
    </w:rPr>
  </w:style>
  <w:style w:type="paragraph" w:styleId="En-tte">
    <w:name w:val="header"/>
    <w:basedOn w:val="Normal"/>
    <w:link w:val="En-tteCar"/>
    <w:uiPriority w:val="99"/>
    <w:rsid w:val="00CD68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character" w:customStyle="1" w:styleId="bold">
    <w:name w:val="bold"/>
    <w:uiPriority w:val="99"/>
    <w:rsid w:val="00E705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4448</Characters>
  <Application>Microsoft Office Word</Application>
  <DocSecurity>8</DocSecurity>
  <Lines>37</Lines>
  <Paragraphs>10</Paragraphs>
  <ScaleCrop>false</ScaleCrop>
  <Company>Microsoft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 DE CASSATION</dc:title>
  <dc:subject/>
  <dc:creator>user</dc:creator>
  <cp:keywords/>
  <dc:description/>
  <cp:lastModifiedBy>Joseph AUVINET</cp:lastModifiedBy>
  <cp:revision>3</cp:revision>
  <cp:lastPrinted>2014-06-02T08:46:00Z</cp:lastPrinted>
  <dcterms:created xsi:type="dcterms:W3CDTF">2021-07-25T09:00:00Z</dcterms:created>
  <dcterms:modified xsi:type="dcterms:W3CDTF">2021-07-25T09:00:00Z</dcterms:modified>
</cp:coreProperties>
</file>