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3B" w:rsidRPr="00255CDA" w:rsidRDefault="00FF4F5B" w:rsidP="005D3C3B">
      <w:pPr>
        <w:pStyle w:val="Titre"/>
        <w:pBdr>
          <w:top w:val="single" w:sz="4" w:space="0" w:color="auto"/>
        </w:pBdr>
        <w:rPr>
          <w:sz w:val="22"/>
          <w:szCs w:val="22"/>
        </w:rPr>
      </w:pPr>
      <w:bookmarkStart w:id="0" w:name="_GoBack"/>
      <w:bookmarkEnd w:id="0"/>
      <w:r w:rsidRPr="00255CDA">
        <w:rPr>
          <w:sz w:val="22"/>
          <w:szCs w:val="22"/>
        </w:rPr>
        <w:t xml:space="preserve">Audiences </w:t>
      </w:r>
      <w:r w:rsidR="005D3C3B" w:rsidRPr="00255CDA">
        <w:rPr>
          <w:sz w:val="22"/>
          <w:szCs w:val="22"/>
        </w:rPr>
        <w:t xml:space="preserve">devant la cour d’appel de </w:t>
      </w:r>
      <w:r w:rsidRPr="00255CDA">
        <w:rPr>
          <w:sz w:val="22"/>
          <w:szCs w:val="22"/>
        </w:rPr>
        <w:t xml:space="preserve">Reims </w:t>
      </w:r>
      <w:r w:rsidR="005D3C3B" w:rsidRPr="00255CDA">
        <w:rPr>
          <w:sz w:val="22"/>
          <w:szCs w:val="22"/>
        </w:rPr>
        <w:t xml:space="preserve">du </w:t>
      </w:r>
      <w:r w:rsidRPr="00255CDA">
        <w:rPr>
          <w:sz w:val="22"/>
          <w:szCs w:val="22"/>
        </w:rPr>
        <w:t xml:space="preserve">18 avril 2016 </w:t>
      </w:r>
    </w:p>
    <w:p w:rsidR="005D3C3B" w:rsidRPr="00255CDA" w:rsidRDefault="00FF4F5B" w:rsidP="00C154D1">
      <w:pPr>
        <w:pStyle w:val="Titre"/>
        <w:pBdr>
          <w:top w:val="single" w:sz="4" w:space="0" w:color="auto"/>
        </w:pBdr>
        <w:spacing w:before="0"/>
        <w:rPr>
          <w:sz w:val="22"/>
          <w:szCs w:val="22"/>
        </w:rPr>
      </w:pPr>
      <w:r w:rsidRPr="00255CDA">
        <w:rPr>
          <w:sz w:val="22"/>
          <w:szCs w:val="22"/>
        </w:rPr>
        <w:t xml:space="preserve">Affaire Bresson </w:t>
      </w:r>
      <w:r w:rsidR="005D3C3B" w:rsidRPr="00255CDA">
        <w:rPr>
          <w:sz w:val="22"/>
          <w:szCs w:val="22"/>
        </w:rPr>
        <w:t>(renvoi après cassation)</w:t>
      </w:r>
    </w:p>
    <w:p w:rsidR="009E6870" w:rsidRPr="00255CDA" w:rsidRDefault="00FF4F5B" w:rsidP="00C154D1">
      <w:pPr>
        <w:pStyle w:val="Titre"/>
        <w:pBdr>
          <w:top w:val="single" w:sz="4" w:space="0" w:color="auto"/>
        </w:pBdr>
        <w:spacing w:before="0"/>
        <w:rPr>
          <w:sz w:val="22"/>
          <w:szCs w:val="22"/>
        </w:rPr>
      </w:pPr>
      <w:r w:rsidRPr="00255CDA">
        <w:rPr>
          <w:sz w:val="22"/>
          <w:szCs w:val="22"/>
        </w:rPr>
        <w:t xml:space="preserve">et </w:t>
      </w:r>
      <w:r w:rsidR="005D3C3B" w:rsidRPr="00255CDA">
        <w:rPr>
          <w:sz w:val="22"/>
          <w:szCs w:val="22"/>
        </w:rPr>
        <w:t>affaire gava</w:t>
      </w:r>
    </w:p>
    <w:p w:rsidR="00FF4F5B" w:rsidRPr="00255CDA" w:rsidRDefault="006109F3" w:rsidP="00954890">
      <w:pPr>
        <w:pStyle w:val="Titre1"/>
        <w:tabs>
          <w:tab w:val="clear" w:pos="426"/>
        </w:tabs>
        <w:ind w:left="360" w:hanging="360"/>
      </w:pPr>
      <w:r w:rsidRPr="00255CDA">
        <w:t xml:space="preserve">Faits et </w:t>
      </w:r>
      <w:r w:rsidR="00FF4F5B" w:rsidRPr="00255CDA">
        <w:t>Impressions</w:t>
      </w:r>
    </w:p>
    <w:p w:rsidR="00255CDA" w:rsidRDefault="00F21604" w:rsidP="00255CDA">
      <w:pPr>
        <w:pStyle w:val="Paragraphe12"/>
        <w:rPr>
          <w:spacing w:val="-2"/>
        </w:rPr>
      </w:pPr>
      <w:r w:rsidRPr="00255CDA">
        <w:t>Notre</w:t>
      </w:r>
      <w:r w:rsidR="00FF4F5B" w:rsidRPr="00255CDA">
        <w:t xml:space="preserve"> surprise fut de constater que les 2 audiences avaient lieu dans deux </w:t>
      </w:r>
      <w:r w:rsidR="005D3C3B" w:rsidRPr="00255CDA">
        <w:t xml:space="preserve">salles </w:t>
      </w:r>
      <w:r w:rsidR="00C8042E" w:rsidRPr="00255CDA">
        <w:t xml:space="preserve">différentes </w:t>
      </w:r>
      <w:r w:rsidR="005D3C3B" w:rsidRPr="00255CDA">
        <w:t>avec deux juges différents</w:t>
      </w:r>
      <w:r w:rsidR="00FF4F5B" w:rsidRPr="00255CDA">
        <w:t>. Sophie Gava a entendu la juge répondre à Me Ollivier que pour l’affaire Bresson c’était un renvoi après cassation</w:t>
      </w:r>
      <w:r w:rsidRPr="00255CDA">
        <w:t xml:space="preserve"> et</w:t>
      </w:r>
      <w:r w:rsidR="005D3C3B" w:rsidRPr="00255CDA">
        <w:t xml:space="preserve"> que,</w:t>
      </w:r>
      <w:r w:rsidR="00FF4F5B" w:rsidRPr="00255CDA">
        <w:t xml:space="preserve"> </w:t>
      </w:r>
      <w:r w:rsidR="00FF4F5B" w:rsidRPr="00255CDA">
        <w:rPr>
          <w:spacing w:val="-2"/>
        </w:rPr>
        <w:t>dans l’affaire Gava, il y avait la question de la recevabilité</w:t>
      </w:r>
      <w:r w:rsidRPr="00255CDA">
        <w:rPr>
          <w:spacing w:val="-2"/>
        </w:rPr>
        <w:t xml:space="preserve"> ; il y </w:t>
      </w:r>
      <w:r w:rsidR="00BD3B48" w:rsidRPr="00255CDA">
        <w:rPr>
          <w:spacing w:val="-2"/>
        </w:rPr>
        <w:t>aurait concertation entre les deux juges</w:t>
      </w:r>
      <w:r w:rsidR="00FF4F5B" w:rsidRPr="00255CDA">
        <w:rPr>
          <w:spacing w:val="-2"/>
        </w:rPr>
        <w:t>.</w:t>
      </w:r>
      <w:r w:rsidRPr="00255CDA">
        <w:rPr>
          <w:spacing w:val="-2"/>
        </w:rPr>
        <w:t xml:space="preserve"> </w:t>
      </w:r>
    </w:p>
    <w:p w:rsidR="00F45468" w:rsidRPr="00255CDA" w:rsidRDefault="00F45468" w:rsidP="00255CDA">
      <w:pPr>
        <w:pStyle w:val="Paragraphe12"/>
      </w:pPr>
      <w:r w:rsidRPr="00255CDA">
        <w:t>Dans l’affaire Bresson, la juge était accompagnée de deux assesseurs : un homme et une femme. Elle était souriante et volubile. Dans l’affaire Gava, la juge était seule</w:t>
      </w:r>
      <w:r w:rsidR="001F0DF7" w:rsidRPr="00255CDA">
        <w:t xml:space="preserve"> et elle maintenait une certaine distance</w:t>
      </w:r>
      <w:r w:rsidRPr="00255CDA">
        <w:t xml:space="preserve">. </w:t>
      </w:r>
    </w:p>
    <w:p w:rsidR="00F45468" w:rsidRPr="00255CDA" w:rsidRDefault="00BD3B48" w:rsidP="00255CDA">
      <w:pPr>
        <w:pStyle w:val="Paragraphe12"/>
      </w:pPr>
      <w:r w:rsidRPr="00255CDA">
        <w:t>Les dossiers avaient visiblement été étudiés</w:t>
      </w:r>
      <w:r w:rsidR="00157AA3">
        <w:t xml:space="preserve"> : </w:t>
      </w:r>
      <w:r w:rsidRPr="00255CDA">
        <w:t>dans l’affaire Bresson, les conclusions étaient émaillé</w:t>
      </w:r>
      <w:r w:rsidR="00F21604" w:rsidRPr="00255CDA">
        <w:t>e</w:t>
      </w:r>
      <w:r w:rsidRPr="00255CDA">
        <w:t>s de</w:t>
      </w:r>
      <w:r w:rsidR="00157AA3">
        <w:t xml:space="preserve"> nombreux post-it annotés</w:t>
      </w:r>
      <w:r w:rsidRPr="00255CDA">
        <w:t>, dans l’affaire Gava, la juge a fait le rapport reprenant les faits et les demandes des parties.</w:t>
      </w:r>
    </w:p>
    <w:p w:rsidR="00F21604" w:rsidRPr="00255CDA" w:rsidRDefault="00BD3B48" w:rsidP="00255CDA">
      <w:pPr>
        <w:pStyle w:val="Paragraphe12"/>
      </w:pPr>
      <w:r w:rsidRPr="00255CDA">
        <w:t>Nous avons d’abord plaidé l’affair</w:t>
      </w:r>
      <w:r w:rsidR="00D61FCD" w:rsidRPr="00255CDA">
        <w:t>e Bresson</w:t>
      </w:r>
      <w:r w:rsidR="006109F3" w:rsidRPr="00255CDA">
        <w:t xml:space="preserve"> </w:t>
      </w:r>
      <w:r w:rsidR="00D61FCD" w:rsidRPr="00255CDA">
        <w:t>aussitô</w:t>
      </w:r>
      <w:r w:rsidRPr="00255CDA">
        <w:t>t après</w:t>
      </w:r>
      <w:r w:rsidR="00D61FCD" w:rsidRPr="00255CDA">
        <w:t xml:space="preserve"> l’appel de causes</w:t>
      </w:r>
      <w:r w:rsidR="00F21604" w:rsidRPr="00255CDA">
        <w:t> : d’abord Me Lacaze, puis moi-même.</w:t>
      </w:r>
      <w:r w:rsidR="00D61FCD" w:rsidRPr="00255CDA">
        <w:t xml:space="preserve"> Et nous avions juste fini lorsqu’on nous appelait pour l’affaire Gava.</w:t>
      </w:r>
      <w:r w:rsidRPr="00255CDA">
        <w:t xml:space="preserve"> </w:t>
      </w:r>
    </w:p>
    <w:p w:rsidR="00F21604" w:rsidRPr="00255CDA" w:rsidRDefault="00C8042E" w:rsidP="00255CDA">
      <w:pPr>
        <w:pStyle w:val="Paragraphe12"/>
      </w:pPr>
      <w:r w:rsidRPr="00255CDA">
        <w:t xml:space="preserve">À </w:t>
      </w:r>
      <w:r w:rsidR="00157AA3">
        <w:t>n</w:t>
      </w:r>
      <w:r w:rsidRPr="00255CDA">
        <w:t>oter que</w:t>
      </w:r>
      <w:r w:rsidR="00F21604" w:rsidRPr="00255CDA">
        <w:t xml:space="preserve">, </w:t>
      </w:r>
      <w:r w:rsidRPr="00255CDA">
        <w:t>dans l’affaire Gava</w:t>
      </w:r>
      <w:r w:rsidR="00F21604" w:rsidRPr="00255CDA">
        <w:t>, la juge</w:t>
      </w:r>
      <w:r w:rsidRPr="00255CDA">
        <w:t xml:space="preserve"> a pris des notes quand je parlais, qu’elle a cessé de prendre des notes quand </w:t>
      </w:r>
      <w:r w:rsidR="00F21604" w:rsidRPr="00255CDA">
        <w:t>je parlais</w:t>
      </w:r>
      <w:r w:rsidRPr="00255CDA">
        <w:t xml:space="preserve"> de l’article L 382-29-1 et qu’elle n’a pris aucune note pendant les plaidoiries de Me Lacaze et </w:t>
      </w:r>
      <w:r w:rsidR="00F21604" w:rsidRPr="00255CDA">
        <w:t xml:space="preserve">Me </w:t>
      </w:r>
      <w:r w:rsidRPr="00255CDA">
        <w:t xml:space="preserve">Ollivier, sauf lorsque Me Ollivier a évoqué la prescription des cotisations. Lorsqu’elle ne prenait pas de notes, elle soutenait </w:t>
      </w:r>
      <w:r w:rsidR="00F21604" w:rsidRPr="00255CDA">
        <w:t xml:space="preserve">fixement </w:t>
      </w:r>
      <w:r w:rsidRPr="00255CDA">
        <w:t xml:space="preserve">le regard de celui qui parlait. </w:t>
      </w:r>
      <w:r w:rsidR="00AD0F95" w:rsidRPr="00AD0F95">
        <w:t xml:space="preserve">De mon côté, j’ai pris de nombreuses notes </w:t>
      </w:r>
      <w:r w:rsidR="00AD0F95">
        <w:t>lors de la plaidoirie des avocats adverses</w:t>
      </w:r>
      <w:r w:rsidR="00AD0F95" w:rsidRPr="00AD0F95">
        <w:t>.</w:t>
      </w:r>
    </w:p>
    <w:p w:rsidR="00BD3B48" w:rsidRPr="00255CDA" w:rsidRDefault="00C8042E" w:rsidP="00255CDA">
      <w:pPr>
        <w:pStyle w:val="Paragraphe12"/>
      </w:pPr>
      <w:r w:rsidRPr="00255CDA">
        <w:t>Nous sommes ressortis de la cour d’appel avec une impression bizarre, sans pouvoir préjuger le sens dans lequel les affaires vont être tranchées. Il faut noter que c’est la première fois que la cour d’appel de Reims avait ce type d’affaires.</w:t>
      </w:r>
    </w:p>
    <w:p w:rsidR="006109F3" w:rsidRPr="00255CDA" w:rsidRDefault="006109F3" w:rsidP="00255CDA">
      <w:pPr>
        <w:pStyle w:val="Paragraphe12"/>
      </w:pPr>
      <w:r w:rsidRPr="00255CDA">
        <w:t xml:space="preserve">Les </w:t>
      </w:r>
      <w:r w:rsidR="00157AA3">
        <w:t>deux affaires</w:t>
      </w:r>
      <w:r w:rsidRPr="00255CDA">
        <w:t xml:space="preserve"> sont mis</w:t>
      </w:r>
      <w:r w:rsidR="00157AA3">
        <w:t>es</w:t>
      </w:r>
      <w:r w:rsidRPr="00255CDA">
        <w:t xml:space="preserve"> en délibéré </w:t>
      </w:r>
      <w:r w:rsidR="00157AA3">
        <w:t>jusqu’au</w:t>
      </w:r>
      <w:r w:rsidRPr="00255CDA">
        <w:t xml:space="preserve"> 8 juin 2016.</w:t>
      </w:r>
    </w:p>
    <w:p w:rsidR="006109F3" w:rsidRPr="00255CDA" w:rsidRDefault="00C84088" w:rsidP="00954890">
      <w:pPr>
        <w:pStyle w:val="Titre1"/>
      </w:pPr>
      <w:r w:rsidRPr="00255CDA">
        <w:t>Les plaidoiries</w:t>
      </w:r>
    </w:p>
    <w:p w:rsidR="00C154D1" w:rsidRPr="00255CDA" w:rsidRDefault="00C154D1" w:rsidP="00954890">
      <w:pPr>
        <w:pStyle w:val="Titre2"/>
      </w:pPr>
      <w:r w:rsidRPr="00255CDA">
        <w:t>Affaire Bresson</w:t>
      </w:r>
    </w:p>
    <w:p w:rsidR="00C154D1" w:rsidRPr="00255CDA" w:rsidRDefault="00C154D1" w:rsidP="00255CDA">
      <w:pPr>
        <w:pStyle w:val="Paragraphe12"/>
      </w:pPr>
      <w:r w:rsidRPr="00255CDA">
        <w:t xml:space="preserve">Dans sa plaidoirie Madame Lacaze a développé notamment que l’article L 382-29-1 a été créé pour éviter la validation gratuite et qu’il s’agit de savoir si Monsieur Bresson était en formation ; </w:t>
      </w:r>
      <w:r w:rsidR="00157AA3">
        <w:t>elle soutient que,</w:t>
      </w:r>
      <w:r w:rsidRPr="00255CDA">
        <w:t xml:space="preserve"> dans tous les documents, la formation est omniprésente.</w:t>
      </w:r>
    </w:p>
    <w:p w:rsidR="00C154D1" w:rsidRPr="00255CDA" w:rsidRDefault="00C154D1" w:rsidP="00255CDA">
      <w:pPr>
        <w:pStyle w:val="Paragraphe12"/>
      </w:pPr>
      <w:r w:rsidRPr="00255CDA">
        <w:t xml:space="preserve">Dans ma plaidoirie j’ai commencé par dire </w:t>
      </w:r>
    </w:p>
    <w:p w:rsidR="00C154D1" w:rsidRPr="00255CDA" w:rsidRDefault="00C154D1" w:rsidP="00683185">
      <w:pPr>
        <w:pStyle w:val="listepucescitation"/>
        <w:rPr>
          <w:sz w:val="22"/>
          <w:szCs w:val="22"/>
        </w:rPr>
      </w:pPr>
      <w:r w:rsidRPr="00255CDA">
        <w:rPr>
          <w:sz w:val="22"/>
          <w:szCs w:val="22"/>
        </w:rPr>
        <w:t>que la question c’était de déterminer la date d’affilia</w:t>
      </w:r>
      <w:r w:rsidR="00F21604" w:rsidRPr="00255CDA">
        <w:rPr>
          <w:sz w:val="22"/>
          <w:szCs w:val="22"/>
        </w:rPr>
        <w:t>tion</w:t>
      </w:r>
      <w:r w:rsidRPr="00255CDA">
        <w:rPr>
          <w:sz w:val="22"/>
          <w:szCs w:val="22"/>
        </w:rPr>
        <w:t xml:space="preserve"> de Monsieur Bresson, </w:t>
      </w:r>
    </w:p>
    <w:p w:rsidR="00346FF6" w:rsidRPr="00255CDA" w:rsidRDefault="00C154D1" w:rsidP="00683185">
      <w:pPr>
        <w:pStyle w:val="listepucescitation"/>
        <w:rPr>
          <w:sz w:val="22"/>
          <w:szCs w:val="22"/>
        </w:rPr>
      </w:pPr>
      <w:r w:rsidRPr="00255CDA">
        <w:rPr>
          <w:sz w:val="22"/>
          <w:szCs w:val="22"/>
        </w:rPr>
        <w:t>que les périodes antérieures au 1</w:t>
      </w:r>
      <w:r w:rsidRPr="00255CDA">
        <w:rPr>
          <w:sz w:val="22"/>
          <w:szCs w:val="22"/>
          <w:vertAlign w:val="superscript"/>
        </w:rPr>
        <w:t>er</w:t>
      </w:r>
      <w:r w:rsidRPr="00255CDA">
        <w:rPr>
          <w:sz w:val="22"/>
          <w:szCs w:val="22"/>
        </w:rPr>
        <w:t xml:space="preserve"> janvier 1979 n’étaient pas validées gratuitement </w:t>
      </w:r>
    </w:p>
    <w:p w:rsidR="00346FF6" w:rsidRPr="00255CDA" w:rsidRDefault="00C154D1" w:rsidP="00683185">
      <w:pPr>
        <w:pStyle w:val="listepucescitation"/>
        <w:rPr>
          <w:sz w:val="22"/>
          <w:szCs w:val="22"/>
        </w:rPr>
      </w:pPr>
      <w:r w:rsidRPr="00255CDA">
        <w:rPr>
          <w:sz w:val="22"/>
          <w:szCs w:val="22"/>
        </w:rPr>
        <w:t xml:space="preserve">et qu’en parlant de formation, la Cavimac déplaçait le problème. </w:t>
      </w:r>
    </w:p>
    <w:p w:rsidR="00C154D1" w:rsidRPr="00255CDA" w:rsidRDefault="00C154D1" w:rsidP="00255CDA">
      <w:pPr>
        <w:pStyle w:val="Paragraphe12"/>
      </w:pPr>
      <w:r w:rsidRPr="00255CDA">
        <w:t>Puis</w:t>
      </w:r>
      <w:r w:rsidR="00F21604" w:rsidRPr="00255CDA">
        <w:t>,</w:t>
      </w:r>
      <w:r w:rsidRPr="00255CDA">
        <w:t xml:space="preserve"> j’ai suivi ce que j’avais préparé pour plaidoirie</w:t>
      </w:r>
      <w:r w:rsidR="00CB0B8B" w:rsidRPr="00255CDA">
        <w:t xml:space="preserve"> (Voir ma plaidoirie)</w:t>
      </w:r>
      <w:r w:rsidR="00346FF6" w:rsidRPr="00255CDA">
        <w:t>. Et j’ai notamment souligné</w:t>
      </w:r>
    </w:p>
    <w:p w:rsidR="00346FF6" w:rsidRPr="00255CDA" w:rsidRDefault="00346FF6" w:rsidP="00683185">
      <w:pPr>
        <w:pStyle w:val="listepucescitation"/>
        <w:rPr>
          <w:sz w:val="22"/>
          <w:szCs w:val="22"/>
        </w:rPr>
      </w:pPr>
      <w:r w:rsidRPr="00255CDA">
        <w:rPr>
          <w:sz w:val="22"/>
          <w:szCs w:val="22"/>
        </w:rPr>
        <w:t xml:space="preserve">que la Cavimac avait affilié Monsieur Bresson alors qu’il était toujours séminariste et </w:t>
      </w:r>
      <w:r w:rsidR="00F21604" w:rsidRPr="00255CDA">
        <w:rPr>
          <w:sz w:val="22"/>
          <w:szCs w:val="22"/>
        </w:rPr>
        <w:t xml:space="preserve">donc </w:t>
      </w:r>
      <w:r w:rsidRPr="00255CDA">
        <w:rPr>
          <w:sz w:val="22"/>
          <w:szCs w:val="22"/>
        </w:rPr>
        <w:t>que</w:t>
      </w:r>
      <w:r w:rsidR="00F21604" w:rsidRPr="00255CDA">
        <w:rPr>
          <w:sz w:val="22"/>
          <w:szCs w:val="22"/>
        </w:rPr>
        <w:t>,</w:t>
      </w:r>
      <w:r w:rsidRPr="00255CDA">
        <w:rPr>
          <w:sz w:val="22"/>
          <w:szCs w:val="22"/>
        </w:rPr>
        <w:t xml:space="preserve"> pour la Cavimac, le mot « formation » désignait en réalité les périodes antérieures au diaconat,</w:t>
      </w:r>
    </w:p>
    <w:p w:rsidR="00D34D05" w:rsidRPr="00255CDA" w:rsidRDefault="00346FF6" w:rsidP="00683185">
      <w:pPr>
        <w:pStyle w:val="listepucescitation"/>
        <w:rPr>
          <w:sz w:val="22"/>
          <w:szCs w:val="22"/>
        </w:rPr>
      </w:pPr>
      <w:r w:rsidRPr="00255CDA">
        <w:rPr>
          <w:sz w:val="22"/>
          <w:szCs w:val="22"/>
        </w:rPr>
        <w:t>que d’ailleurs elle disait</w:t>
      </w:r>
      <w:r w:rsidR="00D34D05" w:rsidRPr="00255CDA">
        <w:rPr>
          <w:sz w:val="22"/>
          <w:szCs w:val="22"/>
        </w:rPr>
        <w:t xml:space="preserve"> que son critère c’était le prononcé des </w:t>
      </w:r>
      <w:r w:rsidR="001913D0" w:rsidRPr="00255CDA">
        <w:rPr>
          <w:sz w:val="22"/>
          <w:szCs w:val="22"/>
        </w:rPr>
        <w:t>vœux</w:t>
      </w:r>
      <w:r w:rsidRPr="00255CDA">
        <w:rPr>
          <w:sz w:val="22"/>
          <w:szCs w:val="22"/>
        </w:rPr>
        <w:t xml:space="preserve"> : </w:t>
      </w:r>
      <w:r w:rsidR="00D34D05" w:rsidRPr="00255CDA">
        <w:rPr>
          <w:i/>
          <w:sz w:val="22"/>
          <w:szCs w:val="22"/>
        </w:rPr>
        <w:t xml:space="preserve">« s’agissant du culte catholique, l’obtention du statut de ministre des cultes ou membre à part entière d’une congrégation, ne peut être que le prononcé des vœux, constitutif d’un critère </w:t>
      </w:r>
      <w:r w:rsidR="00D34D05" w:rsidRPr="00255CDA">
        <w:rPr>
          <w:i/>
          <w:sz w:val="22"/>
          <w:szCs w:val="22"/>
          <w:u w:val="single"/>
        </w:rPr>
        <w:t>objectif,</w:t>
      </w:r>
      <w:r w:rsidR="00D34D05" w:rsidRPr="00255CDA">
        <w:rPr>
          <w:i/>
          <w:sz w:val="22"/>
          <w:szCs w:val="22"/>
        </w:rPr>
        <w:t xml:space="preserve"> facilement identifiable par la Cavimac, ne laissant place à aucune subjectivité »</w:t>
      </w:r>
      <w:r w:rsidR="00D34D05" w:rsidRPr="00255CDA">
        <w:rPr>
          <w:sz w:val="22"/>
          <w:szCs w:val="22"/>
        </w:rPr>
        <w:t xml:space="preserve"> </w:t>
      </w:r>
    </w:p>
    <w:p w:rsidR="00346FF6" w:rsidRPr="00255CDA" w:rsidRDefault="00346FF6" w:rsidP="00683185">
      <w:pPr>
        <w:pStyle w:val="listepucescitation"/>
        <w:rPr>
          <w:sz w:val="22"/>
          <w:szCs w:val="22"/>
        </w:rPr>
      </w:pPr>
      <w:r w:rsidRPr="00255CDA">
        <w:rPr>
          <w:sz w:val="22"/>
          <w:szCs w:val="22"/>
        </w:rPr>
        <w:t xml:space="preserve">et </w:t>
      </w:r>
      <w:r w:rsidR="00CB0B8B" w:rsidRPr="00255CDA">
        <w:rPr>
          <w:sz w:val="22"/>
          <w:szCs w:val="22"/>
        </w:rPr>
        <w:t xml:space="preserve">qu’en fait, sous couvert d’article L 382-29-1, elle demandait </w:t>
      </w:r>
      <w:r w:rsidRPr="00255CDA">
        <w:rPr>
          <w:sz w:val="22"/>
          <w:szCs w:val="22"/>
        </w:rPr>
        <w:t>au juge d’élever un rite religieux au rang de norme civile</w:t>
      </w:r>
      <w:r w:rsidR="00CB0B8B" w:rsidRPr="00255CDA">
        <w:rPr>
          <w:sz w:val="22"/>
          <w:szCs w:val="22"/>
        </w:rPr>
        <w:t xml:space="preserve"> déterminant le droit à protection civile</w:t>
      </w:r>
      <w:r w:rsidRPr="00255CDA">
        <w:rPr>
          <w:sz w:val="22"/>
          <w:szCs w:val="22"/>
        </w:rPr>
        <w:t xml:space="preserve">, </w:t>
      </w:r>
    </w:p>
    <w:p w:rsidR="00346FF6" w:rsidRPr="00255CDA" w:rsidRDefault="00346FF6" w:rsidP="00683185">
      <w:pPr>
        <w:pStyle w:val="listepucescitation"/>
        <w:rPr>
          <w:sz w:val="22"/>
          <w:szCs w:val="22"/>
        </w:rPr>
      </w:pPr>
      <w:r w:rsidRPr="00255CDA">
        <w:rPr>
          <w:sz w:val="22"/>
          <w:szCs w:val="22"/>
        </w:rPr>
        <w:t xml:space="preserve">qu’elle contestait le pouvoir du juge </w:t>
      </w:r>
      <w:r w:rsidR="00CB0B8B" w:rsidRPr="00255CDA">
        <w:rPr>
          <w:sz w:val="22"/>
          <w:szCs w:val="22"/>
        </w:rPr>
        <w:t>puisqu’elle disait dans ses conclusions</w:t>
      </w:r>
      <w:r w:rsidRPr="00255CDA">
        <w:rPr>
          <w:sz w:val="22"/>
          <w:szCs w:val="22"/>
        </w:rPr>
        <w:t xml:space="preserve"> : </w:t>
      </w:r>
      <w:r w:rsidRPr="00255CDA">
        <w:rPr>
          <w:i/>
          <w:sz w:val="22"/>
          <w:szCs w:val="22"/>
        </w:rPr>
        <w:t>« Une interprétation différente obligerait le juge à rentrer dans des aspects pratiques et techniques, difficilement accessibles et appréciables pour un non spécialiste du culte concerné… Il n’y a donc pas lieu de rechercher si son engagement religieux était tel que son assujettissement s’impose ».</w:t>
      </w:r>
    </w:p>
    <w:p w:rsidR="00346FF6" w:rsidRPr="00255CDA" w:rsidRDefault="00346FF6" w:rsidP="00954890">
      <w:pPr>
        <w:pStyle w:val="Titre2"/>
      </w:pPr>
      <w:r w:rsidRPr="00255CDA">
        <w:lastRenderedPageBreak/>
        <w:t>Affaire Gava</w:t>
      </w:r>
    </w:p>
    <w:p w:rsidR="00346FF6" w:rsidRPr="00255CDA" w:rsidRDefault="00346FF6" w:rsidP="00255CDA">
      <w:pPr>
        <w:pStyle w:val="Paragraphe12"/>
      </w:pPr>
      <w:r w:rsidRPr="00255CDA">
        <w:t xml:space="preserve">Comme le </w:t>
      </w:r>
      <w:r w:rsidR="00CB0B8B" w:rsidRPr="00255CDA">
        <w:t xml:space="preserve">juge du </w:t>
      </w:r>
      <w:r w:rsidRPr="00255CDA">
        <w:t>TASS</w:t>
      </w:r>
      <w:r w:rsidR="00CB0B8B" w:rsidRPr="00255CDA">
        <w:t xml:space="preserve"> de Troyes a jugé que la demande de Madame était</w:t>
      </w:r>
      <w:r w:rsidRPr="00255CDA">
        <w:t xml:space="preserve"> irrecevable car sa retraite n’</w:t>
      </w:r>
      <w:r w:rsidR="00CB0B8B" w:rsidRPr="00255CDA">
        <w:t>est</w:t>
      </w:r>
      <w:r w:rsidRPr="00255CDA">
        <w:t xml:space="preserve"> pas encore liquidée, j’avais à plaider en premier. (Voir ma plaidoirie).</w:t>
      </w:r>
      <w:r w:rsidR="00CB0B8B" w:rsidRPr="00255CDA">
        <w:t xml:space="preserve"> J’analyserai ici les plaidoiries de Me Lacaze et de Me Ollivier : je mets en noir ce que les avocats ont dit et, en bleu, j’ajoute mes observations. </w:t>
      </w:r>
    </w:p>
    <w:p w:rsidR="00D34D05" w:rsidRPr="00255CDA" w:rsidRDefault="00D34D05" w:rsidP="00D34D05">
      <w:pPr>
        <w:pStyle w:val="listepuces1esp12"/>
      </w:pPr>
      <w:r w:rsidRPr="00255CDA">
        <w:t>Plaidoirie de Ma</w:t>
      </w:r>
      <w:r w:rsidR="000B1619" w:rsidRPr="00255CDA">
        <w:t>itre</w:t>
      </w:r>
      <w:r w:rsidRPr="00255CDA">
        <w:t xml:space="preserve"> Lacaze</w:t>
      </w:r>
      <w:r w:rsidR="000B1619" w:rsidRPr="00255CDA">
        <w:t xml:space="preserve"> (pour la Cavimac)</w:t>
      </w:r>
    </w:p>
    <w:p w:rsidR="00D34D05" w:rsidRPr="00255CDA" w:rsidRDefault="00D34D05" w:rsidP="00255CDA">
      <w:pPr>
        <w:pStyle w:val="Paragraphe12"/>
      </w:pPr>
      <w:r w:rsidRPr="00255CDA">
        <w:t>Le relevé de situation ne constitue pas une décision. Les conditions d’obtention de la pension peuvent évoluer </w:t>
      </w:r>
      <w:r w:rsidR="00AD0F95">
        <w:t xml:space="preserve">par la volonté du législateur </w:t>
      </w:r>
      <w:r w:rsidRPr="00255CDA">
        <w:t>; il n’est donc pas possible d’opérer de modifications</w:t>
      </w:r>
      <w:r w:rsidR="00CB0B8B" w:rsidRPr="00255CDA">
        <w:t xml:space="preserve"> à l’avance</w:t>
      </w:r>
      <w:r w:rsidRPr="00255CDA">
        <w:t>.</w:t>
      </w:r>
    </w:p>
    <w:p w:rsidR="00AD7F13" w:rsidRPr="00255CDA" w:rsidRDefault="00AD7F13" w:rsidP="00CB0B8B">
      <w:pPr>
        <w:pStyle w:val="Paragrretrait1"/>
        <w:rPr>
          <w:sz w:val="22"/>
          <w:szCs w:val="22"/>
        </w:rPr>
      </w:pPr>
      <w:r w:rsidRPr="00255CDA">
        <w:rPr>
          <w:sz w:val="22"/>
          <w:szCs w:val="22"/>
        </w:rPr>
        <w:t>Me Lacaze</w:t>
      </w:r>
      <w:r w:rsidR="00CB0B8B" w:rsidRPr="00255CDA">
        <w:rPr>
          <w:sz w:val="22"/>
          <w:szCs w:val="22"/>
        </w:rPr>
        <w:t xml:space="preserve"> –</w:t>
      </w:r>
      <w:r w:rsidR="00A45B60" w:rsidRPr="00255CDA">
        <w:rPr>
          <w:sz w:val="22"/>
          <w:szCs w:val="22"/>
        </w:rPr>
        <w:t>et Me</w:t>
      </w:r>
      <w:r w:rsidRPr="00255CDA">
        <w:rPr>
          <w:sz w:val="22"/>
          <w:szCs w:val="22"/>
        </w:rPr>
        <w:t xml:space="preserve"> Ollivier</w:t>
      </w:r>
      <w:r w:rsidR="00A45B60" w:rsidRPr="00255CDA">
        <w:rPr>
          <w:sz w:val="22"/>
          <w:szCs w:val="22"/>
        </w:rPr>
        <w:t xml:space="preserve"> fera la même chose</w:t>
      </w:r>
      <w:r w:rsidR="00CB0B8B" w:rsidRPr="00255CDA">
        <w:rPr>
          <w:sz w:val="22"/>
          <w:szCs w:val="22"/>
        </w:rPr>
        <w:t>–</w:t>
      </w:r>
      <w:r w:rsidRPr="00255CDA">
        <w:rPr>
          <w:sz w:val="22"/>
          <w:szCs w:val="22"/>
        </w:rPr>
        <w:t xml:space="preserve"> crée une confusion. Les conditions de liquidation</w:t>
      </w:r>
      <w:r w:rsidR="001913D0" w:rsidRPr="00255CDA">
        <w:rPr>
          <w:sz w:val="22"/>
          <w:szCs w:val="22"/>
        </w:rPr>
        <w:t>,</w:t>
      </w:r>
      <w:r w:rsidRPr="00255CDA">
        <w:rPr>
          <w:sz w:val="22"/>
          <w:szCs w:val="22"/>
        </w:rPr>
        <w:t xml:space="preserve"> qui ont trait à l’avenir</w:t>
      </w:r>
      <w:r w:rsidR="001913D0" w:rsidRPr="00255CDA">
        <w:rPr>
          <w:sz w:val="22"/>
          <w:szCs w:val="22"/>
        </w:rPr>
        <w:t>,</w:t>
      </w:r>
      <w:r w:rsidRPr="00255CDA">
        <w:rPr>
          <w:sz w:val="22"/>
          <w:szCs w:val="22"/>
        </w:rPr>
        <w:t xml:space="preserve"> peuvent évoluer, mais l’affiliation de périodes </w:t>
      </w:r>
      <w:r w:rsidR="00CB0B8B" w:rsidRPr="00255CDA">
        <w:rPr>
          <w:sz w:val="22"/>
          <w:szCs w:val="22"/>
        </w:rPr>
        <w:t>d’activités passées</w:t>
      </w:r>
      <w:r w:rsidRPr="00255CDA">
        <w:rPr>
          <w:sz w:val="22"/>
          <w:szCs w:val="22"/>
        </w:rPr>
        <w:t xml:space="preserve"> </w:t>
      </w:r>
      <w:r w:rsidR="00CB0B8B" w:rsidRPr="00255CDA">
        <w:rPr>
          <w:sz w:val="22"/>
          <w:szCs w:val="22"/>
        </w:rPr>
        <w:t>a lieu dans les conditions qui régnaient à l’époque de l’activité</w:t>
      </w:r>
      <w:r w:rsidR="006E5424" w:rsidRPr="00255CDA">
        <w:rPr>
          <w:sz w:val="22"/>
          <w:szCs w:val="22"/>
        </w:rPr>
        <w:t xml:space="preserve"> ; ces conditions d’affiliation </w:t>
      </w:r>
      <w:r w:rsidRPr="00255CDA">
        <w:rPr>
          <w:sz w:val="22"/>
          <w:szCs w:val="22"/>
        </w:rPr>
        <w:t>ne peu</w:t>
      </w:r>
      <w:r w:rsidR="006E5424" w:rsidRPr="00255CDA">
        <w:rPr>
          <w:sz w:val="22"/>
          <w:szCs w:val="22"/>
        </w:rPr>
        <w:t>vent</w:t>
      </w:r>
      <w:r w:rsidRPr="00255CDA">
        <w:rPr>
          <w:sz w:val="22"/>
          <w:szCs w:val="22"/>
        </w:rPr>
        <w:t xml:space="preserve"> plus évoluer</w:t>
      </w:r>
      <w:r w:rsidR="001913D0" w:rsidRPr="00255CDA">
        <w:rPr>
          <w:sz w:val="22"/>
          <w:szCs w:val="22"/>
        </w:rPr>
        <w:t xml:space="preserve">. </w:t>
      </w:r>
      <w:r w:rsidR="006E5424" w:rsidRPr="00255CDA">
        <w:rPr>
          <w:sz w:val="22"/>
          <w:szCs w:val="22"/>
        </w:rPr>
        <w:t>Ce n’est pas une question de pension mais une question d’affiliation.</w:t>
      </w:r>
    </w:p>
    <w:p w:rsidR="00AF14CA" w:rsidRPr="00255CDA" w:rsidRDefault="00D34D05" w:rsidP="00255CDA">
      <w:pPr>
        <w:pStyle w:val="listepuces20"/>
      </w:pPr>
      <w:r w:rsidRPr="00255CDA">
        <w:t xml:space="preserve">L’article L 382-29-1 a été créé pour éviter la validation gratuite et ne pas mettre de charges financières indues sur </w:t>
      </w:r>
      <w:r w:rsidRPr="00157AA3">
        <w:rPr>
          <w:spacing w:val="-2"/>
        </w:rPr>
        <w:t>les caisses de sécurité sociale. Le fait de racheter ne nuit pas au principe de la Sécurité sociale.</w:t>
      </w:r>
      <w:r w:rsidR="00AF14CA" w:rsidRPr="00157AA3">
        <w:rPr>
          <w:spacing w:val="-2"/>
        </w:rPr>
        <w:t xml:space="preserve"> </w:t>
      </w:r>
      <w:r w:rsidR="006E5424" w:rsidRPr="00157AA3">
        <w:rPr>
          <w:spacing w:val="-2"/>
        </w:rPr>
        <w:t>L’article L 382-29-1</w:t>
      </w:r>
      <w:r w:rsidR="006E5424" w:rsidRPr="00255CDA">
        <w:t xml:space="preserve"> a été créé en 2012. </w:t>
      </w:r>
      <w:r w:rsidRPr="00255CDA">
        <w:t>Le rapport de la Cour de cassation de 2012 a été fait avant l’article L 382-29-1 et donc la Cour de cassation ne pouvait pas le connaître</w:t>
      </w:r>
      <w:r w:rsidR="00AF14CA" w:rsidRPr="00255CDA">
        <w:t>. La Cour de cassation en 2009 a condamné la Cavimac à valider gratuitement. Le législateur est intervenu pour mettre fin à la validation gratuite.</w:t>
      </w:r>
    </w:p>
    <w:p w:rsidR="00255CDA" w:rsidRDefault="006128A4" w:rsidP="00CB0B8B">
      <w:pPr>
        <w:pStyle w:val="Paragrretrait1"/>
        <w:rPr>
          <w:sz w:val="22"/>
          <w:szCs w:val="22"/>
        </w:rPr>
      </w:pPr>
      <w:r w:rsidRPr="00255CDA">
        <w:rPr>
          <w:sz w:val="22"/>
          <w:szCs w:val="22"/>
        </w:rPr>
        <w:t xml:space="preserve">Nous avons indiqué dans nos conclusions que la Cour de cassation n’avait pas décidé la validation gratuite, mais avait condamné la Cavimac à valider des périodes omises à tort. </w:t>
      </w:r>
    </w:p>
    <w:p w:rsidR="006128A4" w:rsidRPr="00255CDA" w:rsidRDefault="006128A4" w:rsidP="00CB0B8B">
      <w:pPr>
        <w:pStyle w:val="Paragrretrait1"/>
        <w:rPr>
          <w:sz w:val="22"/>
          <w:szCs w:val="22"/>
        </w:rPr>
      </w:pPr>
      <w:r w:rsidRPr="00255CDA">
        <w:rPr>
          <w:sz w:val="22"/>
          <w:szCs w:val="22"/>
        </w:rPr>
        <w:t xml:space="preserve">La période litigieuse </w:t>
      </w:r>
      <w:r w:rsidR="006E5424" w:rsidRPr="00255CDA">
        <w:rPr>
          <w:sz w:val="22"/>
          <w:szCs w:val="22"/>
        </w:rPr>
        <w:t>dans cette affaire portait sur les années</w:t>
      </w:r>
      <w:r w:rsidRPr="00255CDA">
        <w:rPr>
          <w:sz w:val="22"/>
          <w:szCs w:val="22"/>
        </w:rPr>
        <w:t xml:space="preserve"> 1987-1990. Il y a donc ici une confusion (voulue) : la dualité n’est pas validation gratuite/rachat, mais cotisations/rachat. Madame Lacaze a </w:t>
      </w:r>
      <w:r w:rsidR="00255CDA">
        <w:rPr>
          <w:sz w:val="22"/>
          <w:szCs w:val="22"/>
        </w:rPr>
        <w:t>affirmé</w:t>
      </w:r>
      <w:r w:rsidRPr="00255CDA">
        <w:rPr>
          <w:sz w:val="22"/>
          <w:szCs w:val="22"/>
        </w:rPr>
        <w:t xml:space="preserve"> qu’en 2012 la Cour de cassation ignorait l’article L 382-29-1</w:t>
      </w:r>
      <w:r w:rsidR="00A45B60" w:rsidRPr="00255CDA">
        <w:rPr>
          <w:sz w:val="22"/>
          <w:szCs w:val="22"/>
        </w:rPr>
        <w:t> </w:t>
      </w:r>
      <w:r w:rsidR="006E5424" w:rsidRPr="00255CDA">
        <w:rPr>
          <w:sz w:val="22"/>
          <w:szCs w:val="22"/>
        </w:rPr>
        <w:t>alors que</w:t>
      </w:r>
      <w:r w:rsidR="00A45B60" w:rsidRPr="00255CDA">
        <w:rPr>
          <w:sz w:val="22"/>
          <w:szCs w:val="22"/>
        </w:rPr>
        <w:t xml:space="preserve"> l’avocat général a longuement évoqué ce nouvel article lors de l’audience du 14 décembre 2011 qui conduir</w:t>
      </w:r>
      <w:r w:rsidR="006E5424" w:rsidRPr="00255CDA">
        <w:rPr>
          <w:sz w:val="22"/>
          <w:szCs w:val="22"/>
        </w:rPr>
        <w:t>a aux arrêts du 20 janvier 2012</w:t>
      </w:r>
      <w:r w:rsidRPr="00255CDA">
        <w:rPr>
          <w:sz w:val="22"/>
          <w:szCs w:val="22"/>
        </w:rPr>
        <w:t>.</w:t>
      </w:r>
    </w:p>
    <w:p w:rsidR="00AF14CA" w:rsidRPr="00255CDA" w:rsidRDefault="00AF14CA" w:rsidP="00255CDA">
      <w:pPr>
        <w:pStyle w:val="listepuces20"/>
      </w:pPr>
      <w:r w:rsidRPr="00255CDA">
        <w:t xml:space="preserve">L’article L 382-29-1 s’applique à une matière particulière qu’est la formation religieuse. Désormais toutes les périodes de formation religieuse doivent être rachetées. La Cour de cassation a demandé de rechercher </w:t>
      </w:r>
      <w:r w:rsidRPr="00255CDA">
        <w:rPr>
          <w:i/>
        </w:rPr>
        <w:t>in concreto</w:t>
      </w:r>
      <w:r w:rsidRPr="00255CDA">
        <w:t xml:space="preserve"> si l’intéressé était ou n’était pas en formation.</w:t>
      </w:r>
    </w:p>
    <w:p w:rsidR="006E5424" w:rsidRPr="00255CDA" w:rsidRDefault="00CE307F" w:rsidP="00CB0B8B">
      <w:pPr>
        <w:pStyle w:val="Paragrretrait1"/>
        <w:rPr>
          <w:sz w:val="22"/>
          <w:szCs w:val="22"/>
        </w:rPr>
      </w:pPr>
      <w:r w:rsidRPr="00255CDA">
        <w:rPr>
          <w:sz w:val="22"/>
          <w:szCs w:val="22"/>
        </w:rPr>
        <w:t>Pour Mme Lacaze</w:t>
      </w:r>
      <w:r w:rsidR="006E5424" w:rsidRPr="00255CDA">
        <w:rPr>
          <w:sz w:val="22"/>
          <w:szCs w:val="22"/>
        </w:rPr>
        <w:t xml:space="preserve"> –</w:t>
      </w:r>
      <w:r w:rsidRPr="00255CDA">
        <w:rPr>
          <w:sz w:val="22"/>
          <w:szCs w:val="22"/>
        </w:rPr>
        <w:t>comme pour M. Ollivier qui suivra</w:t>
      </w:r>
      <w:r w:rsidR="006E5424" w:rsidRPr="00255CDA">
        <w:rPr>
          <w:sz w:val="22"/>
          <w:szCs w:val="22"/>
        </w:rPr>
        <w:t>–</w:t>
      </w:r>
      <w:r w:rsidRPr="00255CDA">
        <w:rPr>
          <w:sz w:val="22"/>
          <w:szCs w:val="22"/>
        </w:rPr>
        <w:t xml:space="preserve"> la seule question c’est : l’intéressé est-il ou </w:t>
      </w:r>
      <w:r w:rsidR="00A45B60" w:rsidRPr="00255CDA">
        <w:rPr>
          <w:sz w:val="22"/>
          <w:szCs w:val="22"/>
        </w:rPr>
        <w:t>n’est-il</w:t>
      </w:r>
      <w:r w:rsidRPr="00255CDA">
        <w:rPr>
          <w:sz w:val="22"/>
          <w:szCs w:val="22"/>
        </w:rPr>
        <w:t xml:space="preserve"> </w:t>
      </w:r>
      <w:r w:rsidR="00A45B60" w:rsidRPr="00255CDA">
        <w:rPr>
          <w:sz w:val="22"/>
          <w:szCs w:val="22"/>
        </w:rPr>
        <w:t xml:space="preserve">pas </w:t>
      </w:r>
      <w:r w:rsidRPr="00255CDA">
        <w:rPr>
          <w:sz w:val="22"/>
          <w:szCs w:val="22"/>
        </w:rPr>
        <w:t>en formation. Il nous faut donc insister pour dire</w:t>
      </w:r>
      <w:r w:rsidR="006E5424" w:rsidRPr="00255CDA">
        <w:rPr>
          <w:sz w:val="22"/>
          <w:szCs w:val="22"/>
        </w:rPr>
        <w:t> :</w:t>
      </w:r>
      <w:r w:rsidRPr="00255CDA">
        <w:rPr>
          <w:sz w:val="22"/>
          <w:szCs w:val="22"/>
        </w:rPr>
        <w:t xml:space="preserve"> la question </w:t>
      </w:r>
      <w:r w:rsidR="006E5424" w:rsidRPr="00255CDA">
        <w:rPr>
          <w:sz w:val="22"/>
          <w:szCs w:val="22"/>
        </w:rPr>
        <w:t>c’</w:t>
      </w:r>
      <w:r w:rsidRPr="00255CDA">
        <w:rPr>
          <w:sz w:val="22"/>
          <w:szCs w:val="22"/>
        </w:rPr>
        <w:t>est : l’intéressé a</w:t>
      </w:r>
      <w:r w:rsidR="00A45B60" w:rsidRPr="00255CDA">
        <w:rPr>
          <w:sz w:val="22"/>
          <w:szCs w:val="22"/>
        </w:rPr>
        <w:t>-</w:t>
      </w:r>
      <w:r w:rsidRPr="00255CDA">
        <w:rPr>
          <w:sz w:val="22"/>
          <w:szCs w:val="22"/>
        </w:rPr>
        <w:t xml:space="preserve">t-il ou </w:t>
      </w:r>
      <w:r w:rsidR="00A45B60" w:rsidRPr="00255CDA">
        <w:rPr>
          <w:sz w:val="22"/>
          <w:szCs w:val="22"/>
        </w:rPr>
        <w:t>n’a-t-il pas</w:t>
      </w:r>
      <w:r w:rsidRPr="00255CDA">
        <w:rPr>
          <w:sz w:val="22"/>
          <w:szCs w:val="22"/>
        </w:rPr>
        <w:t xml:space="preserve"> un engagement religieux</w:t>
      </w:r>
      <w:r w:rsidR="006E5424" w:rsidRPr="00255CDA">
        <w:rPr>
          <w:sz w:val="22"/>
          <w:szCs w:val="22"/>
        </w:rPr>
        <w:t>, a-t-il ou n’a-t-il pas la qualité définie à l’article L 382-15 CSS.</w:t>
      </w:r>
      <w:r w:rsidRPr="00255CDA">
        <w:rPr>
          <w:sz w:val="22"/>
          <w:szCs w:val="22"/>
        </w:rPr>
        <w:t xml:space="preserve"> </w:t>
      </w:r>
    </w:p>
    <w:p w:rsidR="00CE307F" w:rsidRPr="00255CDA" w:rsidRDefault="00A45B60" w:rsidP="00CB0B8B">
      <w:pPr>
        <w:pStyle w:val="Paragrretrait1"/>
        <w:rPr>
          <w:sz w:val="22"/>
          <w:szCs w:val="22"/>
        </w:rPr>
      </w:pPr>
      <w:r w:rsidRPr="00255CDA">
        <w:rPr>
          <w:sz w:val="22"/>
          <w:szCs w:val="22"/>
        </w:rPr>
        <w:t xml:space="preserve">Et </w:t>
      </w:r>
      <w:r w:rsidR="00CE307F" w:rsidRPr="00255CDA">
        <w:rPr>
          <w:sz w:val="22"/>
          <w:szCs w:val="22"/>
        </w:rPr>
        <w:t xml:space="preserve">il nous faut mettre en évidence une réalité fondamentale qu’ils ne peuvent pas nier : l’admission constitue un contrat : je te prends en charge / tu t’engages à vivre selon la règle de l’Institut. Ce contrat est matérialisé par la prise en charge par la collectivité religieuse. Le contrat précède la formation : je </w:t>
      </w:r>
      <w:r w:rsidR="006E5424" w:rsidRPr="00255CDA">
        <w:rPr>
          <w:sz w:val="22"/>
          <w:szCs w:val="22"/>
        </w:rPr>
        <w:t>te</w:t>
      </w:r>
      <w:r w:rsidR="00CE307F" w:rsidRPr="00255CDA">
        <w:rPr>
          <w:sz w:val="22"/>
          <w:szCs w:val="22"/>
        </w:rPr>
        <w:t xml:space="preserve"> prends en charge et je </w:t>
      </w:r>
      <w:r w:rsidR="006E5424" w:rsidRPr="00255CDA">
        <w:rPr>
          <w:sz w:val="22"/>
          <w:szCs w:val="22"/>
        </w:rPr>
        <w:t>te</w:t>
      </w:r>
      <w:r w:rsidR="00CE307F" w:rsidRPr="00255CDA">
        <w:rPr>
          <w:sz w:val="22"/>
          <w:szCs w:val="22"/>
        </w:rPr>
        <w:t xml:space="preserve"> demande en premier lieu de </w:t>
      </w:r>
      <w:r w:rsidR="006E5424" w:rsidRPr="00255CDA">
        <w:rPr>
          <w:sz w:val="22"/>
          <w:szCs w:val="22"/>
        </w:rPr>
        <w:t>faire la formation religieuse du postulat et du noviciat</w:t>
      </w:r>
      <w:r w:rsidR="00CE307F" w:rsidRPr="00255CDA">
        <w:rPr>
          <w:sz w:val="22"/>
          <w:szCs w:val="22"/>
        </w:rPr>
        <w:t>.</w:t>
      </w:r>
      <w:r w:rsidR="006E5424" w:rsidRPr="00255CDA">
        <w:rPr>
          <w:sz w:val="22"/>
          <w:szCs w:val="22"/>
        </w:rPr>
        <w:t xml:space="preserve"> La formation est faite en qualité de membre de la congrégation au sens de la législation sociale.</w:t>
      </w:r>
    </w:p>
    <w:p w:rsidR="00AF14CA" w:rsidRPr="00255CDA" w:rsidRDefault="00AF14CA" w:rsidP="00255CDA">
      <w:pPr>
        <w:pStyle w:val="listepuces20"/>
      </w:pPr>
      <w:r w:rsidRPr="00255CDA">
        <w:t>Il n’y a pas eu des tonnes de décisions qui ont rejeté l’application de l’article L 382-29-1. La cour d’appel de Caen a appliqué l’article L 382-29-1</w:t>
      </w:r>
      <w:r w:rsidR="006E5424" w:rsidRPr="00255CDA">
        <w:t>,</w:t>
      </w:r>
      <w:r w:rsidRPr="00255CDA">
        <w:t xml:space="preserve"> car la preuve de l’absence de formation n’était pas apportée.</w:t>
      </w:r>
    </w:p>
    <w:p w:rsidR="00CE307F" w:rsidRPr="00255CDA" w:rsidRDefault="00CE307F" w:rsidP="00CB0B8B">
      <w:pPr>
        <w:pStyle w:val="Paragrretrait1"/>
        <w:rPr>
          <w:sz w:val="22"/>
          <w:szCs w:val="22"/>
        </w:rPr>
      </w:pPr>
      <w:r w:rsidRPr="00255CDA">
        <w:rPr>
          <w:sz w:val="22"/>
          <w:szCs w:val="22"/>
        </w:rPr>
        <w:t xml:space="preserve">Nous avions fait </w:t>
      </w:r>
      <w:r w:rsidR="001F0DF7" w:rsidRPr="00255CDA">
        <w:rPr>
          <w:sz w:val="22"/>
          <w:szCs w:val="22"/>
        </w:rPr>
        <w:t xml:space="preserve">la </w:t>
      </w:r>
      <w:r w:rsidRPr="00255CDA">
        <w:rPr>
          <w:sz w:val="22"/>
          <w:szCs w:val="22"/>
        </w:rPr>
        <w:t>remarque que la Cour de cassation avait rejeté les arrêts qui appliquaient l’article L 382-29-</w:t>
      </w:r>
      <w:r w:rsidR="006E5424" w:rsidRPr="00255CDA">
        <w:rPr>
          <w:sz w:val="22"/>
          <w:szCs w:val="22"/>
        </w:rPr>
        <w:t xml:space="preserve">1 </w:t>
      </w:r>
      <w:r w:rsidRPr="00255CDA">
        <w:rPr>
          <w:sz w:val="22"/>
          <w:szCs w:val="22"/>
        </w:rPr>
        <w:t>et rejeté tous les pourvois de la Cavimac qui voulaient le faire appliquer, nous avions relevé qu’il n’y avait aucune décision passée en force de chose jugée qui appliquait l’article et nous avions cité la trentaine d’arrêt qui, depuis, 2012, ont rejeté l’application de l’article L 382-29-1.</w:t>
      </w:r>
      <w:r w:rsidR="00F85836" w:rsidRPr="00255CDA">
        <w:rPr>
          <w:sz w:val="22"/>
          <w:szCs w:val="22"/>
        </w:rPr>
        <w:t xml:space="preserve"> </w:t>
      </w:r>
    </w:p>
    <w:p w:rsidR="00AF14CA" w:rsidRPr="00255CDA" w:rsidRDefault="00A67BBD" w:rsidP="00255CDA">
      <w:pPr>
        <w:pStyle w:val="listepuces20"/>
      </w:pPr>
      <w:r w:rsidRPr="00255CDA">
        <w:t>Mme Lacaze</w:t>
      </w:r>
      <w:r w:rsidR="000B1619" w:rsidRPr="00255CDA">
        <w:t xml:space="preserve"> parle </w:t>
      </w:r>
      <w:r w:rsidRPr="00255CDA">
        <w:t xml:space="preserve">ensuite </w:t>
      </w:r>
      <w:r w:rsidR="000B1619" w:rsidRPr="00255CDA">
        <w:t xml:space="preserve">des attestations. Elle demande de rejeter </w:t>
      </w:r>
      <w:r w:rsidR="00AD0F95">
        <w:t>nos</w:t>
      </w:r>
      <w:r w:rsidR="000B1619" w:rsidRPr="00255CDA">
        <w:t xml:space="preserve"> attestations sur le noviciat</w:t>
      </w:r>
      <w:r w:rsidRPr="00255CDA">
        <w:t xml:space="preserve">. </w:t>
      </w:r>
      <w:r w:rsidR="000B1619" w:rsidRPr="00255CDA">
        <w:t xml:space="preserve"> </w:t>
      </w:r>
      <w:r w:rsidRPr="00255CDA">
        <w:t>Elle</w:t>
      </w:r>
      <w:r w:rsidR="000B1619" w:rsidRPr="00255CDA">
        <w:t xml:space="preserve"> dit que</w:t>
      </w:r>
      <w:r w:rsidRPr="00255CDA">
        <w:t>,</w:t>
      </w:r>
      <w:r w:rsidR="000B1619" w:rsidRPr="00255CDA">
        <w:t xml:space="preserve"> dans nos productions, la formation est omniprésente. Elle ajoute que la formation prépare aux activités futures</w:t>
      </w:r>
      <w:r w:rsidR="00AD0F95">
        <w:t>, comme le stagiaire en formation pour devenir professeur</w:t>
      </w:r>
      <w:r w:rsidR="000B1619" w:rsidRPr="00255CDA">
        <w:t> ; donc la novice est placée dans les mêmes conditions.</w:t>
      </w:r>
      <w:r w:rsidR="00255CDA" w:rsidRPr="00255CDA">
        <w:t xml:space="preserve"> Elle conclut en disant que les éléments sont insuffisants à montrer la qualité de membre de congrégation.</w:t>
      </w:r>
    </w:p>
    <w:p w:rsidR="001913D0" w:rsidRPr="00255CDA" w:rsidRDefault="001913D0" w:rsidP="00CB0B8B">
      <w:pPr>
        <w:pStyle w:val="Paragrretrait1"/>
        <w:rPr>
          <w:sz w:val="22"/>
          <w:szCs w:val="22"/>
        </w:rPr>
      </w:pPr>
      <w:r w:rsidRPr="00255CDA">
        <w:rPr>
          <w:sz w:val="22"/>
          <w:szCs w:val="22"/>
        </w:rPr>
        <w:t xml:space="preserve">La Cavimac utilise </w:t>
      </w:r>
      <w:r w:rsidR="00A67BBD" w:rsidRPr="00255CDA">
        <w:rPr>
          <w:sz w:val="22"/>
          <w:szCs w:val="22"/>
        </w:rPr>
        <w:t>le mot « formation », mais en réalité</w:t>
      </w:r>
      <w:r w:rsidRPr="00255CDA">
        <w:rPr>
          <w:sz w:val="22"/>
          <w:szCs w:val="22"/>
        </w:rPr>
        <w:t xml:space="preserve">, elle vise la période qui précède la prononcé des </w:t>
      </w:r>
      <w:r w:rsidRPr="0078569D">
        <w:rPr>
          <w:spacing w:val="-2"/>
          <w:sz w:val="22"/>
          <w:szCs w:val="22"/>
        </w:rPr>
        <w:t xml:space="preserve">vœux (ou le diaconat). </w:t>
      </w:r>
      <w:r w:rsidR="00A67BBD" w:rsidRPr="0078569D">
        <w:rPr>
          <w:spacing w:val="-2"/>
          <w:sz w:val="22"/>
          <w:szCs w:val="22"/>
        </w:rPr>
        <w:t>Elle fait d’un rite religieux, la condition d’obtention de la qualité définie à l’article L 382-15.</w:t>
      </w:r>
      <w:r w:rsidR="00A67BBD" w:rsidRPr="00255CDA">
        <w:rPr>
          <w:sz w:val="22"/>
          <w:szCs w:val="22"/>
        </w:rPr>
        <w:t xml:space="preserve"> Elle ne cite d’ailleurs pas cet article L 382-15 ; elle prétend que la période antérieure au prononcé des vœux (ou au diaconat) relève de l’article L 382-29-1.</w:t>
      </w:r>
    </w:p>
    <w:p w:rsidR="000B1619" w:rsidRPr="00255CDA" w:rsidRDefault="000B1619" w:rsidP="000B1619">
      <w:pPr>
        <w:pStyle w:val="listepuces1esp12"/>
      </w:pPr>
      <w:r w:rsidRPr="00255CDA">
        <w:lastRenderedPageBreak/>
        <w:t>Plaidoirie de Maitre OLLIVIER (pour l’Institut)</w:t>
      </w:r>
    </w:p>
    <w:p w:rsidR="00C6073D" w:rsidRPr="00255CDA" w:rsidRDefault="00C6073D" w:rsidP="00255CDA">
      <w:pPr>
        <w:pStyle w:val="listepuces20"/>
      </w:pPr>
      <w:r w:rsidRPr="00255CDA">
        <w:t xml:space="preserve">Maitre OLLIVIER refait l’historique des litiges </w:t>
      </w:r>
      <w:r w:rsidR="00F85836" w:rsidRPr="00255CDA">
        <w:t>(</w:t>
      </w:r>
      <w:r w:rsidRPr="00255CDA">
        <w:t>à sa façon</w:t>
      </w:r>
      <w:r w:rsidR="00F85836" w:rsidRPr="00255CDA">
        <w:t>)</w:t>
      </w:r>
      <w:r w:rsidRPr="00255CDA">
        <w:t> ; il distingue 3 phases :</w:t>
      </w:r>
    </w:p>
    <w:p w:rsidR="00C6073D" w:rsidRPr="00255CDA" w:rsidRDefault="00C6073D" w:rsidP="00683185">
      <w:pPr>
        <w:pStyle w:val="listepucescitation"/>
        <w:rPr>
          <w:sz w:val="22"/>
          <w:szCs w:val="22"/>
        </w:rPr>
      </w:pPr>
      <w:r w:rsidRPr="00255CDA">
        <w:rPr>
          <w:sz w:val="22"/>
          <w:szCs w:val="22"/>
        </w:rPr>
        <w:t>Les cultes sont libres de s’organiser eux-mêmes. Mais la cour de cassation a jugé que le juge civil peut décider de l’assujettissement. La Cavimac en a pris acte.</w:t>
      </w:r>
    </w:p>
    <w:p w:rsidR="00C6073D" w:rsidRPr="00255CDA" w:rsidRDefault="00C6073D" w:rsidP="00683185">
      <w:pPr>
        <w:pStyle w:val="listepucescitation"/>
        <w:rPr>
          <w:sz w:val="22"/>
          <w:szCs w:val="22"/>
        </w:rPr>
      </w:pPr>
      <w:r w:rsidRPr="00255CDA">
        <w:rPr>
          <w:sz w:val="22"/>
          <w:szCs w:val="22"/>
        </w:rPr>
        <w:t>En 1978, le législateur n’a pas qualifié ce qu’était un ministre du culte. Il reste sur de</w:t>
      </w:r>
      <w:r w:rsidR="002B17E1">
        <w:rPr>
          <w:sz w:val="22"/>
          <w:szCs w:val="22"/>
        </w:rPr>
        <w:t>s</w:t>
      </w:r>
      <w:r w:rsidRPr="00255CDA">
        <w:rPr>
          <w:sz w:val="22"/>
          <w:szCs w:val="22"/>
        </w:rPr>
        <w:t xml:space="preserve"> termes génériques. Devant ce vide juridique, la Cour de cassation, faute de critères, a défini deux principes :</w:t>
      </w:r>
    </w:p>
    <w:p w:rsidR="00C6073D" w:rsidRPr="00255CDA" w:rsidRDefault="00C6073D" w:rsidP="00F85836">
      <w:pPr>
        <w:pStyle w:val="listepucescitation"/>
        <w:numPr>
          <w:ilvl w:val="2"/>
          <w:numId w:val="19"/>
        </w:numPr>
        <w:tabs>
          <w:tab w:val="clear" w:pos="2160"/>
          <w:tab w:val="num" w:pos="1134"/>
        </w:tabs>
        <w:ind w:left="1134" w:hanging="283"/>
        <w:rPr>
          <w:sz w:val="22"/>
          <w:szCs w:val="22"/>
        </w:rPr>
      </w:pPr>
      <w:r w:rsidRPr="00255CDA">
        <w:rPr>
          <w:sz w:val="22"/>
          <w:szCs w:val="22"/>
        </w:rPr>
        <w:t>Le pouvoir du juge</w:t>
      </w:r>
      <w:r w:rsidR="002B17E1">
        <w:rPr>
          <w:sz w:val="22"/>
          <w:szCs w:val="22"/>
        </w:rPr>
        <w:t xml:space="preserve"> concernant l’assujettissement des membres de collectivités religieuses</w:t>
      </w:r>
      <w:r w:rsidRPr="00255CDA">
        <w:rPr>
          <w:sz w:val="22"/>
          <w:szCs w:val="22"/>
        </w:rPr>
        <w:t>,</w:t>
      </w:r>
    </w:p>
    <w:p w:rsidR="00C6073D" w:rsidRPr="00255CDA" w:rsidRDefault="00C6073D" w:rsidP="00F85836">
      <w:pPr>
        <w:pStyle w:val="listepucescitation"/>
        <w:numPr>
          <w:ilvl w:val="2"/>
          <w:numId w:val="19"/>
        </w:numPr>
        <w:tabs>
          <w:tab w:val="clear" w:pos="2160"/>
          <w:tab w:val="num" w:pos="1134"/>
        </w:tabs>
        <w:ind w:left="1134" w:hanging="283"/>
        <w:rPr>
          <w:sz w:val="22"/>
          <w:szCs w:val="22"/>
        </w:rPr>
      </w:pPr>
      <w:r w:rsidRPr="00255CDA">
        <w:rPr>
          <w:sz w:val="22"/>
          <w:szCs w:val="22"/>
        </w:rPr>
        <w:t>L’analyse au cas par cas.</w:t>
      </w:r>
      <w:r w:rsidR="001F0DF7" w:rsidRPr="00255CDA">
        <w:rPr>
          <w:sz w:val="22"/>
          <w:szCs w:val="22"/>
        </w:rPr>
        <w:t xml:space="preserve"> Vous devez donc vérifier. Les arrêts apportés par nos contradicteurs n’ont pas valeur pour cette affaire.</w:t>
      </w:r>
    </w:p>
    <w:p w:rsidR="00C6073D" w:rsidRPr="00255CDA" w:rsidRDefault="00C6073D" w:rsidP="00683185">
      <w:pPr>
        <w:pStyle w:val="listepucescitation"/>
        <w:rPr>
          <w:sz w:val="22"/>
          <w:szCs w:val="22"/>
        </w:rPr>
      </w:pPr>
      <w:r w:rsidRPr="00255CDA">
        <w:rPr>
          <w:sz w:val="22"/>
          <w:szCs w:val="22"/>
        </w:rPr>
        <w:t>La loi de 2011, codifiée en L 382-29-1 a donné un cadre juridique : le novice peut racheter.</w:t>
      </w:r>
    </w:p>
    <w:p w:rsidR="00F85836" w:rsidRPr="00255CDA" w:rsidRDefault="001913D0" w:rsidP="00CB0B8B">
      <w:pPr>
        <w:pStyle w:val="Paragrretrait1"/>
        <w:rPr>
          <w:sz w:val="22"/>
          <w:szCs w:val="22"/>
        </w:rPr>
      </w:pPr>
      <w:r w:rsidRPr="00255CDA">
        <w:rPr>
          <w:sz w:val="22"/>
          <w:szCs w:val="22"/>
        </w:rPr>
        <w:t>Me Ollivier</w:t>
      </w:r>
      <w:r w:rsidR="00255CDA">
        <w:rPr>
          <w:sz w:val="22"/>
          <w:szCs w:val="22"/>
        </w:rPr>
        <w:t xml:space="preserve"> cherche à </w:t>
      </w:r>
      <w:r w:rsidRPr="00255CDA">
        <w:rPr>
          <w:sz w:val="22"/>
          <w:szCs w:val="22"/>
        </w:rPr>
        <w:t>endormir l</w:t>
      </w:r>
      <w:r w:rsidR="00A45B60" w:rsidRPr="00255CDA">
        <w:rPr>
          <w:sz w:val="22"/>
          <w:szCs w:val="22"/>
        </w:rPr>
        <w:t>e</w:t>
      </w:r>
      <w:r w:rsidRPr="00255CDA">
        <w:rPr>
          <w:sz w:val="22"/>
          <w:szCs w:val="22"/>
        </w:rPr>
        <w:t xml:space="preserve"> juge en développant des éléments apparemment rationnels et synthétiques, mais qui sont hors-sujet, ou qui n’apportent pas d’éléments qui permettent au juge de trancher.</w:t>
      </w:r>
      <w:r w:rsidR="001F0DF7" w:rsidRPr="00255CDA">
        <w:rPr>
          <w:sz w:val="22"/>
          <w:szCs w:val="22"/>
        </w:rPr>
        <w:t xml:space="preserve"> </w:t>
      </w:r>
    </w:p>
    <w:p w:rsidR="001913D0" w:rsidRPr="00255CDA" w:rsidRDefault="001F0DF7" w:rsidP="00CB0B8B">
      <w:pPr>
        <w:pStyle w:val="Paragrretrait1"/>
        <w:rPr>
          <w:sz w:val="22"/>
          <w:szCs w:val="22"/>
        </w:rPr>
      </w:pPr>
      <w:r w:rsidRPr="00255CDA">
        <w:rPr>
          <w:sz w:val="22"/>
          <w:szCs w:val="22"/>
        </w:rPr>
        <w:t>Il sera nécessaire de dire</w:t>
      </w:r>
      <w:r w:rsidR="00F85836" w:rsidRPr="00255CDA">
        <w:rPr>
          <w:sz w:val="22"/>
          <w:szCs w:val="22"/>
        </w:rPr>
        <w:t>, dans nos conclusions,</w:t>
      </w:r>
      <w:r w:rsidRPr="00255CDA">
        <w:rPr>
          <w:sz w:val="22"/>
          <w:szCs w:val="22"/>
        </w:rPr>
        <w:t xml:space="preserve"> que l’article L 382-29-1 n’est pas venu </w:t>
      </w:r>
      <w:r w:rsidR="00F85836" w:rsidRPr="00255CDA">
        <w:rPr>
          <w:sz w:val="22"/>
          <w:szCs w:val="22"/>
        </w:rPr>
        <w:t xml:space="preserve">combler </w:t>
      </w:r>
      <w:r w:rsidR="00255CDA">
        <w:rPr>
          <w:sz w:val="22"/>
          <w:szCs w:val="22"/>
        </w:rPr>
        <w:t>un vide</w:t>
      </w:r>
      <w:r w:rsidRPr="00255CDA">
        <w:rPr>
          <w:sz w:val="22"/>
          <w:szCs w:val="22"/>
        </w:rPr>
        <w:t xml:space="preserve"> juridique. Car il n’y avait </w:t>
      </w:r>
      <w:r w:rsidR="00F85836" w:rsidRPr="00255CDA">
        <w:rPr>
          <w:sz w:val="22"/>
          <w:szCs w:val="22"/>
        </w:rPr>
        <w:t>pas de vide</w:t>
      </w:r>
      <w:r w:rsidRPr="00255CDA">
        <w:rPr>
          <w:sz w:val="22"/>
          <w:szCs w:val="22"/>
        </w:rPr>
        <w:t xml:space="preserve"> juridique, mais une mauvaise application de la loi par la Cavimac.</w:t>
      </w:r>
    </w:p>
    <w:p w:rsidR="00C6073D" w:rsidRPr="00255CDA" w:rsidRDefault="0022050F" w:rsidP="00255CDA">
      <w:pPr>
        <w:pStyle w:val="listepuces20"/>
      </w:pPr>
      <w:r w:rsidRPr="00255CDA">
        <w:t>Tant qu’on n’a pas liquidé les droits, il n’est pas possible de figer les droits à pensions. La demande de Madame Gava n’est donc pas recevable.</w:t>
      </w:r>
    </w:p>
    <w:p w:rsidR="009447D1" w:rsidRPr="00255CDA" w:rsidRDefault="009447D1" w:rsidP="00CB0B8B">
      <w:pPr>
        <w:pStyle w:val="Paragrretrait1"/>
        <w:rPr>
          <w:sz w:val="22"/>
          <w:szCs w:val="22"/>
        </w:rPr>
      </w:pPr>
      <w:r w:rsidRPr="00255CDA">
        <w:rPr>
          <w:sz w:val="22"/>
          <w:szCs w:val="22"/>
        </w:rPr>
        <w:t>Confusion déjà indiquée</w:t>
      </w:r>
      <w:r w:rsidR="00F85836" w:rsidRPr="00255CDA">
        <w:rPr>
          <w:sz w:val="22"/>
          <w:szCs w:val="22"/>
        </w:rPr>
        <w:t xml:space="preserve"> entre : la décision contestée ne porte pas sur la pension, mais sur l’affiliation</w:t>
      </w:r>
      <w:r w:rsidRPr="00255CDA">
        <w:rPr>
          <w:sz w:val="22"/>
          <w:szCs w:val="22"/>
        </w:rPr>
        <w:t>.</w:t>
      </w:r>
    </w:p>
    <w:p w:rsidR="00F85836" w:rsidRPr="00255CDA" w:rsidRDefault="0022050F" w:rsidP="00255CDA">
      <w:pPr>
        <w:pStyle w:val="listepuces20"/>
      </w:pPr>
      <w:r w:rsidRPr="00255CDA">
        <w:t xml:space="preserve">Nous ne venons pas imposer des critères religieux. Mais la portée de la loi est là : qu’est-ce que le noviciat : c’est un lieu de formation. La seule question c’est : a-t-elle reçu ou non une formation ? Par exemple, la cour d’appel de Caen a dit : « je n’ai pas d’éléments pour dire qu’il n’y avait pas formation ». </w:t>
      </w:r>
    </w:p>
    <w:p w:rsidR="00F85836" w:rsidRPr="00255CDA" w:rsidRDefault="001F0DF7" w:rsidP="00255CDA">
      <w:pPr>
        <w:pStyle w:val="listepuces20"/>
        <w:numPr>
          <w:ilvl w:val="0"/>
          <w:numId w:val="0"/>
        </w:numPr>
        <w:ind w:left="426"/>
      </w:pPr>
      <w:r w:rsidRPr="00255CDA">
        <w:t>Me Ollivier</w:t>
      </w:r>
      <w:r w:rsidR="0022050F" w:rsidRPr="00255CDA">
        <w:t xml:space="preserve"> analyse </w:t>
      </w:r>
      <w:r w:rsidRPr="00255CDA">
        <w:t xml:space="preserve">alors </w:t>
      </w:r>
      <w:r w:rsidR="0022050F" w:rsidRPr="00255CDA">
        <w:t>les pièces produites, demande le rejet de nos attestations</w:t>
      </w:r>
      <w:r w:rsidRPr="00255CDA">
        <w:t>,</w:t>
      </w:r>
      <w:r w:rsidR="0022050F" w:rsidRPr="00255CDA">
        <w:t xml:space="preserve"> met en valeur </w:t>
      </w:r>
      <w:r w:rsidR="00255CDA">
        <w:t>les siennes</w:t>
      </w:r>
      <w:r w:rsidR="0022050F" w:rsidRPr="00255CDA">
        <w:t>. Il ajoute que ne pas appliquer l’article L 382-29-1, ce serait procéder à une a</w:t>
      </w:r>
      <w:r w:rsidR="00F85836" w:rsidRPr="00255CDA">
        <w:t>brogation judiciaire d’une loi.</w:t>
      </w:r>
    </w:p>
    <w:p w:rsidR="0022050F" w:rsidRPr="00255CDA" w:rsidRDefault="0022050F" w:rsidP="00255CDA">
      <w:pPr>
        <w:pStyle w:val="listepuces20"/>
        <w:numPr>
          <w:ilvl w:val="0"/>
          <w:numId w:val="0"/>
        </w:numPr>
        <w:ind w:left="426"/>
      </w:pPr>
      <w:r w:rsidRPr="00255CDA">
        <w:t>Il revient sur l’arrêt de la cour d’appel de Caen et dit que la cour n’a pas résisté à la cour de cassation puisqu’e</w:t>
      </w:r>
      <w:r w:rsidR="001F0DF7" w:rsidRPr="00255CDA">
        <w:t xml:space="preserve">lle </w:t>
      </w:r>
      <w:r w:rsidR="00794E35">
        <w:t xml:space="preserve">a </w:t>
      </w:r>
      <w:r w:rsidR="001F0DF7" w:rsidRPr="00255CDA">
        <w:t>seulement constaté qu’il n’</w:t>
      </w:r>
      <w:r w:rsidRPr="00255CDA">
        <w:t xml:space="preserve">y avait pas d’éléments pour dire qu’il n’y avait pas de formation ; donc l’affaire n’ira pas en plénière puisque la cour </w:t>
      </w:r>
      <w:r w:rsidR="00F85836" w:rsidRPr="00255CDA">
        <w:t xml:space="preserve">d’appel de Caen </w:t>
      </w:r>
      <w:r w:rsidRPr="00255CDA">
        <w:t xml:space="preserve">n’a pas résisté à la Cour de cassation. </w:t>
      </w:r>
    </w:p>
    <w:p w:rsidR="00F85836" w:rsidRPr="00255CDA" w:rsidRDefault="00F85836" w:rsidP="00CB0B8B">
      <w:pPr>
        <w:pStyle w:val="Paragrretrait1"/>
        <w:rPr>
          <w:sz w:val="22"/>
          <w:szCs w:val="22"/>
        </w:rPr>
      </w:pPr>
      <w:r w:rsidRPr="00255CDA">
        <w:rPr>
          <w:sz w:val="22"/>
          <w:szCs w:val="22"/>
        </w:rPr>
        <w:t>Au passage, j’ai relevé</w:t>
      </w:r>
      <w:r w:rsidR="009447D1" w:rsidRPr="00255CDA">
        <w:rPr>
          <w:sz w:val="22"/>
          <w:szCs w:val="22"/>
        </w:rPr>
        <w:t xml:space="preserve"> cette évocation de la « plénière ». Or Me de La Grange (avocat de la Cavimac)</w:t>
      </w:r>
      <w:r w:rsidRPr="00255CDA">
        <w:rPr>
          <w:sz w:val="22"/>
          <w:szCs w:val="22"/>
        </w:rPr>
        <w:t xml:space="preserve">, après l’audience du TASS de Nantes, en septembre 2015, </w:t>
      </w:r>
      <w:r w:rsidR="009447D1" w:rsidRPr="00255CDA">
        <w:rPr>
          <w:sz w:val="22"/>
          <w:szCs w:val="22"/>
        </w:rPr>
        <w:t xml:space="preserve">m’avait tenu le même discours. En substance : </w:t>
      </w:r>
      <w:r w:rsidR="009447D1" w:rsidRPr="00255CDA">
        <w:rPr>
          <w:i/>
          <w:sz w:val="22"/>
          <w:szCs w:val="22"/>
        </w:rPr>
        <w:t>nous allons demand</w:t>
      </w:r>
      <w:r w:rsidR="00E6260C" w:rsidRPr="00255CDA">
        <w:rPr>
          <w:i/>
          <w:sz w:val="22"/>
          <w:szCs w:val="22"/>
        </w:rPr>
        <w:t>er</w:t>
      </w:r>
      <w:r w:rsidR="009447D1" w:rsidRPr="00255CDA">
        <w:rPr>
          <w:i/>
          <w:sz w:val="22"/>
          <w:szCs w:val="22"/>
        </w:rPr>
        <w:t xml:space="preserve"> une réunion plénière de la Cour de cassation et alors on se conformera à sa décision</w:t>
      </w:r>
      <w:r w:rsidR="009447D1" w:rsidRPr="00255CDA">
        <w:rPr>
          <w:sz w:val="22"/>
          <w:szCs w:val="22"/>
        </w:rPr>
        <w:t xml:space="preserve">. Ce qu’a dit Me Ollivier apporte une précision complémentaire : ils vont tout faire pour qu’une cour d’appel résiste à la Cour de cassation et </w:t>
      </w:r>
      <w:r w:rsidR="001F0DF7" w:rsidRPr="00255CDA">
        <w:rPr>
          <w:sz w:val="22"/>
          <w:szCs w:val="22"/>
        </w:rPr>
        <w:t xml:space="preserve">ensuite </w:t>
      </w:r>
      <w:r w:rsidR="009447D1" w:rsidRPr="00255CDA">
        <w:rPr>
          <w:sz w:val="22"/>
          <w:szCs w:val="22"/>
        </w:rPr>
        <w:t xml:space="preserve">agir pour obtenir une réunion plénière de la Cour de cassation. </w:t>
      </w:r>
    </w:p>
    <w:p w:rsidR="009447D1" w:rsidRPr="00255CDA" w:rsidRDefault="009447D1" w:rsidP="00CB0B8B">
      <w:pPr>
        <w:pStyle w:val="Paragrretrait1"/>
        <w:rPr>
          <w:sz w:val="22"/>
          <w:szCs w:val="22"/>
        </w:rPr>
      </w:pPr>
      <w:r w:rsidRPr="00255CDA">
        <w:rPr>
          <w:sz w:val="22"/>
          <w:szCs w:val="22"/>
        </w:rPr>
        <w:t>Je ne sais s’ils arriveront à leurs fins et si l’affiliation des personnels des cultes nécessite une plénière</w:t>
      </w:r>
      <w:r w:rsidR="00E6260C" w:rsidRPr="00255CDA">
        <w:rPr>
          <w:sz w:val="22"/>
          <w:szCs w:val="22"/>
        </w:rPr>
        <w:t>,</w:t>
      </w:r>
      <w:r w:rsidRPr="00255CDA">
        <w:rPr>
          <w:sz w:val="22"/>
          <w:szCs w:val="22"/>
        </w:rPr>
        <w:t xml:space="preserve"> mais</w:t>
      </w:r>
      <w:r w:rsidR="00E6260C" w:rsidRPr="00255CDA">
        <w:rPr>
          <w:sz w:val="22"/>
          <w:szCs w:val="22"/>
        </w:rPr>
        <w:t xml:space="preserve"> je pense qu’ils veulent faire dire </w:t>
      </w:r>
      <w:r w:rsidR="001F0DF7" w:rsidRPr="00255CDA">
        <w:rPr>
          <w:sz w:val="22"/>
          <w:szCs w:val="22"/>
        </w:rPr>
        <w:t xml:space="preserve">que </w:t>
      </w:r>
      <w:r w:rsidR="00E6260C" w:rsidRPr="00255CDA">
        <w:rPr>
          <w:sz w:val="22"/>
          <w:szCs w:val="22"/>
        </w:rPr>
        <w:t>l</w:t>
      </w:r>
      <w:r w:rsidR="001F0DF7" w:rsidRPr="00255CDA">
        <w:rPr>
          <w:sz w:val="22"/>
          <w:szCs w:val="22"/>
        </w:rPr>
        <w:t>es</w:t>
      </w:r>
      <w:r w:rsidR="00E6260C" w:rsidRPr="00255CDA">
        <w:rPr>
          <w:sz w:val="22"/>
          <w:szCs w:val="22"/>
        </w:rPr>
        <w:t xml:space="preserve"> période</w:t>
      </w:r>
      <w:r w:rsidR="001F0DF7" w:rsidRPr="00255CDA">
        <w:rPr>
          <w:sz w:val="22"/>
          <w:szCs w:val="22"/>
        </w:rPr>
        <w:t>s</w:t>
      </w:r>
      <w:r w:rsidR="00E6260C" w:rsidRPr="00255CDA">
        <w:rPr>
          <w:sz w:val="22"/>
          <w:szCs w:val="22"/>
        </w:rPr>
        <w:t xml:space="preserve"> du noviciat et du séminaire </w:t>
      </w:r>
      <w:r w:rsidR="001F0DF7" w:rsidRPr="00255CDA">
        <w:rPr>
          <w:sz w:val="22"/>
          <w:szCs w:val="22"/>
        </w:rPr>
        <w:t>ne sont</w:t>
      </w:r>
      <w:r w:rsidR="00E6260C" w:rsidRPr="00255CDA">
        <w:rPr>
          <w:sz w:val="22"/>
          <w:szCs w:val="22"/>
        </w:rPr>
        <w:t xml:space="preserve"> pas assujettissable</w:t>
      </w:r>
      <w:r w:rsidR="001F0DF7" w:rsidRPr="00255CDA">
        <w:rPr>
          <w:sz w:val="22"/>
          <w:szCs w:val="22"/>
        </w:rPr>
        <w:t>s</w:t>
      </w:r>
      <w:r w:rsidR="00E6260C" w:rsidRPr="00255CDA">
        <w:rPr>
          <w:sz w:val="22"/>
          <w:szCs w:val="22"/>
        </w:rPr>
        <w:t>. Cela montre qu’il</w:t>
      </w:r>
      <w:r w:rsidRPr="00255CDA">
        <w:rPr>
          <w:sz w:val="22"/>
          <w:szCs w:val="22"/>
        </w:rPr>
        <w:t xml:space="preserve"> faudra « blinder » nos conclusions, notamment devant les cours d’appel de Versailles et de Paris.</w:t>
      </w:r>
    </w:p>
    <w:p w:rsidR="0022050F" w:rsidRPr="00255CDA" w:rsidRDefault="00A45B60" w:rsidP="00255CDA">
      <w:pPr>
        <w:pStyle w:val="listepuces20"/>
      </w:pPr>
      <w:r w:rsidRPr="00255CDA">
        <w:t>S’agissant des cotisations, j</w:t>
      </w:r>
      <w:r w:rsidR="0022050F" w:rsidRPr="00255CDA">
        <w:t>e ne vois pas quelle faut</w:t>
      </w:r>
      <w:r w:rsidR="002B17E1">
        <w:t>e</w:t>
      </w:r>
      <w:r w:rsidR="0022050F" w:rsidRPr="00255CDA">
        <w:t xml:space="preserve"> j’aurais commise puisque la caisse elle-même dit que je n’avais pas à l’affilier. En tout état de cause, les cotisations sont prescrites.</w:t>
      </w:r>
    </w:p>
    <w:p w:rsidR="0022050F" w:rsidRPr="00255CDA" w:rsidRDefault="0022050F" w:rsidP="00255CDA">
      <w:pPr>
        <w:pStyle w:val="listepuces20"/>
        <w:numPr>
          <w:ilvl w:val="0"/>
          <w:numId w:val="0"/>
        </w:numPr>
        <w:ind w:left="426"/>
      </w:pPr>
      <w:r w:rsidRPr="00255CDA">
        <w:t>La juge m’a alors demandé ce que je répondais à la prescription des cotisations. J’ai un peu bafouillé, mais j’ai dit que la Caisse était engagée</w:t>
      </w:r>
      <w:r w:rsidR="00757B71" w:rsidRPr="00255CDA">
        <w:t xml:space="preserve">, qu’elle avait décidé de ne pas affilier </w:t>
      </w:r>
      <w:r w:rsidRPr="00255CDA">
        <w:t>et qu’elle devait assumer les cotisations.</w:t>
      </w:r>
    </w:p>
    <w:p w:rsidR="00195208" w:rsidRPr="00255CDA" w:rsidRDefault="00195208" w:rsidP="00CB0B8B">
      <w:pPr>
        <w:pStyle w:val="Paragrretrait1"/>
        <w:rPr>
          <w:sz w:val="22"/>
          <w:szCs w:val="22"/>
        </w:rPr>
      </w:pPr>
      <w:r w:rsidRPr="00255CDA">
        <w:rPr>
          <w:sz w:val="22"/>
          <w:szCs w:val="22"/>
        </w:rPr>
        <w:t>Sur la faute. Certes, la Cavimac n’a pas appelé les cotisations. Mais</w:t>
      </w:r>
      <w:r w:rsidR="0006107D">
        <w:rPr>
          <w:sz w:val="22"/>
          <w:szCs w:val="22"/>
        </w:rPr>
        <w:t>,</w:t>
      </w:r>
      <w:r w:rsidRPr="00255CDA">
        <w:rPr>
          <w:sz w:val="22"/>
          <w:szCs w:val="22"/>
        </w:rPr>
        <w:t xml:space="preserve"> pour sa part, la collectivité religieuse ne peut pas ignorer la loi et son obligation de déclarer ses personnels et de cotiser pour eux. </w:t>
      </w:r>
      <w:r w:rsidR="00EB770F" w:rsidRPr="00255CDA">
        <w:rPr>
          <w:sz w:val="22"/>
          <w:szCs w:val="22"/>
        </w:rPr>
        <w:t>De plus, en 1987, le règlement de 1</w:t>
      </w:r>
      <w:r w:rsidR="002B17E1">
        <w:rPr>
          <w:sz w:val="22"/>
          <w:szCs w:val="22"/>
        </w:rPr>
        <w:t>9</w:t>
      </w:r>
      <w:r w:rsidR="00EB770F" w:rsidRPr="00255CDA">
        <w:rPr>
          <w:sz w:val="22"/>
          <w:szCs w:val="22"/>
        </w:rPr>
        <w:t>89 n’existait pas ;</w:t>
      </w:r>
      <w:r w:rsidR="002B17E1">
        <w:rPr>
          <w:sz w:val="22"/>
          <w:szCs w:val="22"/>
        </w:rPr>
        <w:t xml:space="preserve"> </w:t>
      </w:r>
      <w:r w:rsidR="00EB770F" w:rsidRPr="00255CDA">
        <w:rPr>
          <w:sz w:val="22"/>
          <w:szCs w:val="22"/>
        </w:rPr>
        <w:t xml:space="preserve">la circulaire </w:t>
      </w:r>
      <w:r w:rsidR="002B17E1">
        <w:rPr>
          <w:sz w:val="22"/>
          <w:szCs w:val="22"/>
        </w:rPr>
        <w:t xml:space="preserve">Cavimac </w:t>
      </w:r>
      <w:r w:rsidR="00EB770F" w:rsidRPr="00255CDA">
        <w:rPr>
          <w:sz w:val="22"/>
          <w:szCs w:val="22"/>
        </w:rPr>
        <w:t>de 1980 permettait, si les collectivités le décidaient, d’affilier les postulants et les novices. L</w:t>
      </w:r>
      <w:r w:rsidRPr="00255CDA">
        <w:rPr>
          <w:sz w:val="22"/>
          <w:szCs w:val="22"/>
        </w:rPr>
        <w:t xml:space="preserve">a responsabilité </w:t>
      </w:r>
      <w:r w:rsidR="00EB770F" w:rsidRPr="00255CDA">
        <w:rPr>
          <w:sz w:val="22"/>
          <w:szCs w:val="22"/>
        </w:rPr>
        <w:t xml:space="preserve">de la collectivité </w:t>
      </w:r>
      <w:r w:rsidRPr="00255CDA">
        <w:rPr>
          <w:sz w:val="22"/>
          <w:szCs w:val="22"/>
        </w:rPr>
        <w:t>est engagée.</w:t>
      </w:r>
    </w:p>
    <w:p w:rsidR="009447D1" w:rsidRPr="00255CDA" w:rsidRDefault="00195208" w:rsidP="00CB0B8B">
      <w:pPr>
        <w:pStyle w:val="Paragrretrait1"/>
        <w:rPr>
          <w:sz w:val="22"/>
          <w:szCs w:val="22"/>
        </w:rPr>
      </w:pPr>
      <w:r w:rsidRPr="00255CDA">
        <w:rPr>
          <w:sz w:val="22"/>
          <w:szCs w:val="22"/>
        </w:rPr>
        <w:t xml:space="preserve">Sur la prescription. </w:t>
      </w:r>
      <w:r w:rsidR="00A45B60" w:rsidRPr="00255CDA">
        <w:rPr>
          <w:sz w:val="22"/>
          <w:szCs w:val="22"/>
        </w:rPr>
        <w:t xml:space="preserve">Au bout de trois ans, les cotisations sont prescrites (L 244-3 CSS). Donc la Cavimac ne peut pas les quérir d’autorité et le juge ne peut pas ordonner leur versement. </w:t>
      </w:r>
      <w:r w:rsidR="009447D1" w:rsidRPr="00255CDA">
        <w:rPr>
          <w:sz w:val="22"/>
          <w:szCs w:val="22"/>
        </w:rPr>
        <w:t xml:space="preserve">Il nous faut </w:t>
      </w:r>
      <w:r w:rsidR="00A45B60" w:rsidRPr="00255CDA">
        <w:rPr>
          <w:sz w:val="22"/>
          <w:szCs w:val="22"/>
        </w:rPr>
        <w:t xml:space="preserve">donc </w:t>
      </w:r>
      <w:r w:rsidR="009447D1" w:rsidRPr="00255CDA">
        <w:rPr>
          <w:sz w:val="22"/>
          <w:szCs w:val="22"/>
        </w:rPr>
        <w:t>clairement mettre en cause la Cavimac. Elle a violé les articles L 382-15, L 382-17, R 382-84 al. 3. Comme l’a dit la cour d’appel de Rennes (arrêt du 6 novembre 2015)</w:t>
      </w:r>
      <w:r w:rsidR="00830DB7" w:rsidRPr="00255CDA">
        <w:rPr>
          <w:sz w:val="22"/>
          <w:szCs w:val="22"/>
        </w:rPr>
        <w:t xml:space="preserve"> : la Cavimac ne peut </w:t>
      </w:r>
      <w:r w:rsidR="00EB770F" w:rsidRPr="00255CDA">
        <w:rPr>
          <w:sz w:val="22"/>
          <w:szCs w:val="22"/>
        </w:rPr>
        <w:t xml:space="preserve">pas </w:t>
      </w:r>
      <w:r w:rsidR="00830DB7" w:rsidRPr="00255CDA">
        <w:rPr>
          <w:sz w:val="22"/>
          <w:szCs w:val="22"/>
        </w:rPr>
        <w:t>se prévaloir de l’absence de cotisations pour refuser de prendre en compte la période pour le calcul de la pension puis</w:t>
      </w:r>
      <w:r w:rsidR="00A45B60" w:rsidRPr="00255CDA">
        <w:rPr>
          <w:sz w:val="22"/>
          <w:szCs w:val="22"/>
        </w:rPr>
        <w:t>que</w:t>
      </w:r>
      <w:r w:rsidR="00830DB7" w:rsidRPr="00255CDA">
        <w:rPr>
          <w:sz w:val="22"/>
          <w:szCs w:val="22"/>
        </w:rPr>
        <w:t xml:space="preserve"> l’absence de paiement de cotisations relève de son </w:t>
      </w:r>
      <w:r w:rsidR="00A45B60" w:rsidRPr="00255CDA">
        <w:rPr>
          <w:sz w:val="22"/>
          <w:szCs w:val="22"/>
        </w:rPr>
        <w:t xml:space="preserve">propre </w:t>
      </w:r>
      <w:r w:rsidR="00830DB7" w:rsidRPr="00255CDA">
        <w:rPr>
          <w:sz w:val="22"/>
          <w:szCs w:val="22"/>
        </w:rPr>
        <w:t>refus.</w:t>
      </w:r>
      <w:r w:rsidR="009447D1" w:rsidRPr="00255CDA">
        <w:rPr>
          <w:sz w:val="22"/>
          <w:szCs w:val="22"/>
        </w:rPr>
        <w:t xml:space="preserve"> </w:t>
      </w:r>
    </w:p>
    <w:p w:rsidR="00E75257" w:rsidRPr="00255CDA" w:rsidRDefault="00E75257" w:rsidP="00E75257">
      <w:pPr>
        <w:pStyle w:val="Titre1"/>
      </w:pPr>
      <w:r w:rsidRPr="00255CDA">
        <w:lastRenderedPageBreak/>
        <w:t>Remarques complémentaires</w:t>
      </w:r>
    </w:p>
    <w:p w:rsidR="00E75257" w:rsidRPr="00255CDA" w:rsidRDefault="00E75257" w:rsidP="00E75257">
      <w:pPr>
        <w:pStyle w:val="listepuces1esp12"/>
      </w:pPr>
      <w:r w:rsidRPr="00255CDA">
        <w:t>Sur l’arrêt de la cour d’appel de Caen</w:t>
      </w:r>
    </w:p>
    <w:p w:rsidR="00E75257" w:rsidRPr="00255CDA" w:rsidRDefault="00E75257" w:rsidP="00255CDA">
      <w:pPr>
        <w:pStyle w:val="Paragraphe12"/>
      </w:pPr>
      <w:r w:rsidRPr="00255CDA">
        <w:t>Les avocats adversaires ont fait valoir qu’il fallait juger au cas par cas et donc que les nombreux arrêts que nous avons cités n’avaient pas de portée. Mais, ils ont abondamment cité l’arrêt de la cour d’appel de Caen du 22 janvier 2016 !</w:t>
      </w:r>
    </w:p>
    <w:p w:rsidR="00747F14" w:rsidRPr="00255CDA" w:rsidRDefault="00747F14" w:rsidP="00255CDA">
      <w:pPr>
        <w:pStyle w:val="listepuces20"/>
      </w:pPr>
      <w:r w:rsidRPr="00255CDA">
        <w:t>La page 5 de l’arrêt de la cour d’appel de Caen montre que la juge a considéré que le fait d’être en formation excluait la qualité définie à l’article L 382-15</w:t>
      </w:r>
      <w:r w:rsidR="0023774A" w:rsidRPr="00255CDA">
        <w:t xml:space="preserve"> alors même qu’elle constatait que l’intéressée vivait en communauté..</w:t>
      </w:r>
      <w:r w:rsidRPr="00255CDA">
        <w:t>.</w:t>
      </w:r>
      <w:r w:rsidR="0023774A" w:rsidRPr="00255CDA">
        <w:t xml:space="preserve"> </w:t>
      </w:r>
    </w:p>
    <w:p w:rsidR="00747F14" w:rsidRPr="00255CDA" w:rsidRDefault="00747F14" w:rsidP="00255CDA">
      <w:pPr>
        <w:pStyle w:val="listepuces20"/>
        <w:numPr>
          <w:ilvl w:val="0"/>
          <w:numId w:val="0"/>
        </w:numPr>
        <w:ind w:left="426"/>
      </w:pPr>
      <w:r w:rsidRPr="00255CDA">
        <w:t>Or</w:t>
      </w:r>
      <w:r w:rsidR="00EA5D2A" w:rsidRPr="00255CDA">
        <w:t>,</w:t>
      </w:r>
      <w:r w:rsidRPr="00255CDA">
        <w:t xml:space="preserve"> seules les périodes de formation </w:t>
      </w:r>
      <w:r w:rsidRPr="007D797E">
        <w:rPr>
          <w:u w:val="single"/>
        </w:rPr>
        <w:t>qui précèdent</w:t>
      </w:r>
      <w:r w:rsidRPr="00255CDA">
        <w:t xml:space="preserve"> l’acquisition de la qualité définie à l’article L 382-15 sont rachetables. Les périodes qui sont postérieures à l’acquisition de la qualité définie à l’article L 382-15 ne sont pas rachetables.</w:t>
      </w:r>
    </w:p>
    <w:p w:rsidR="00EA5D2A" w:rsidRPr="00255CDA" w:rsidRDefault="00EA5D2A" w:rsidP="00255CDA">
      <w:pPr>
        <w:pStyle w:val="listepuces20"/>
        <w:numPr>
          <w:ilvl w:val="0"/>
          <w:numId w:val="0"/>
        </w:numPr>
        <w:ind w:left="426"/>
      </w:pPr>
      <w:r w:rsidRPr="00255CDA">
        <w:t xml:space="preserve">En fait, la juge a rejeté les preuves d’engagement religieux comme non suffisantes parce que, pour elle, la formation excluait la qualité L 382-15. Pourtant, en réalité, la formation est faite dans le cadre d’un engagement religieux ; l’engagement est premier, il permet l’obtention de la qualité de membre de congrégation. Donc la période de formation n’est pas antérieure à ‘acquisition de la qualité définie à L 382-15. </w:t>
      </w:r>
    </w:p>
    <w:p w:rsidR="00EA5D2A" w:rsidRPr="00255CDA" w:rsidRDefault="00747F14" w:rsidP="00255CDA">
      <w:pPr>
        <w:pStyle w:val="listepuces20"/>
      </w:pPr>
      <w:r w:rsidRPr="00255CDA">
        <w:t xml:space="preserve">Si le législateur avait entendu définir de nouvelles conditions d’assujettissement, il n’aurait pas cité de cette manière l’article L 382-15. Le libellé </w:t>
      </w:r>
      <w:r w:rsidR="0023774A" w:rsidRPr="00255CDA">
        <w:t xml:space="preserve">même </w:t>
      </w:r>
      <w:r w:rsidRPr="00255CDA">
        <w:t>de l’article L 382-29-1 vient confirmer que les conditions d’assujettissement découlent exclusivement de l’article L 382-15</w:t>
      </w:r>
      <w:r w:rsidR="0023774A" w:rsidRPr="00255CDA">
        <w:t>.</w:t>
      </w:r>
      <w:r w:rsidRPr="00255CDA">
        <w:t xml:space="preserve">  </w:t>
      </w:r>
    </w:p>
    <w:p w:rsidR="00747F14" w:rsidRDefault="00EA5D2A" w:rsidP="00255CDA">
      <w:pPr>
        <w:pStyle w:val="listepuces20"/>
      </w:pPr>
      <w:r w:rsidRPr="00255CDA">
        <w:t xml:space="preserve">Pour cet arrêt de la cour d’appel de Caen, la structure des motivations et l’analyse sémantique faite par la juge montrent que la décision d’appliquer l’article L 382-29-1 a été prise </w:t>
      </w:r>
      <w:r w:rsidR="002B17E1">
        <w:t xml:space="preserve">a </w:t>
      </w:r>
      <w:r w:rsidRPr="00255CDA">
        <w:t>priori et que les éléments apportés ensuite tiennent lieu de justification. Il ne s’agit pas de motivations conduisant à une conclusion, mais de justifications venant valider une décision préalable.</w:t>
      </w:r>
    </w:p>
    <w:p w:rsidR="00BB5890" w:rsidRPr="00BB5890" w:rsidRDefault="00341CB6" w:rsidP="00BB5890">
      <w:pPr>
        <w:pStyle w:val="listepuces20"/>
      </w:pPr>
      <w:r>
        <w:t>Par ailleurs, Maitre de La Grange, avocat de la Cavimac, m’a indiqué le 10 octobre 2015 qu’il ne déposait pas de nouvelles conclusions, alors que la lecture de l’arrêt montre qu’il a déposé des conclusions nouvelles. Je ne connais donc pas les conclusions de la Cavimac et je n’ai pas pu y apporter de réplique. Le contradictoire n’a donc pas été respecté.</w:t>
      </w:r>
    </w:p>
    <w:p w:rsidR="002B17E1" w:rsidRPr="002B17E1" w:rsidRDefault="002B17E1" w:rsidP="002B17E1">
      <w:pPr>
        <w:pStyle w:val="Paragrretrait1"/>
        <w:jc w:val="right"/>
        <w:rPr>
          <w:color w:val="auto"/>
        </w:rPr>
      </w:pPr>
      <w:r w:rsidRPr="002B17E1">
        <w:rPr>
          <w:color w:val="auto"/>
        </w:rPr>
        <w:t>20.04.2016</w:t>
      </w:r>
    </w:p>
    <w:p w:rsidR="002B17E1" w:rsidRPr="002B17E1" w:rsidRDefault="002B17E1" w:rsidP="002B17E1">
      <w:pPr>
        <w:pStyle w:val="Paragrretrait1"/>
        <w:jc w:val="right"/>
      </w:pPr>
      <w:r w:rsidRPr="002B17E1">
        <w:rPr>
          <w:color w:val="auto"/>
        </w:rPr>
        <w:t>J. Auvinet</w:t>
      </w:r>
    </w:p>
    <w:sectPr w:rsidR="002B17E1" w:rsidRPr="002B17E1" w:rsidSect="00255CDA">
      <w:footerReference w:type="default" r:id="rId9"/>
      <w:endnotePr>
        <w:numFmt w:val="decimal"/>
      </w:endnotePr>
      <w:pgSz w:w="11906" w:h="16838"/>
      <w:pgMar w:top="1134" w:right="1134" w:bottom="1134" w:left="1134"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EB" w:rsidRDefault="00CE27EB" w:rsidP="00437985">
      <w:r>
        <w:separator/>
      </w:r>
    </w:p>
  </w:endnote>
  <w:endnote w:type="continuationSeparator" w:id="0">
    <w:p w:rsidR="00CE27EB" w:rsidRDefault="00CE27E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3F0DC4">
      <w:rPr>
        <w:rStyle w:val="Numrodepage"/>
        <w:rFonts w:ascii="Arial Narrow" w:hAnsi="Arial Narrow"/>
        <w:noProof/>
      </w:rPr>
      <w:t>1</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3F0DC4">
      <w:rPr>
        <w:rStyle w:val="Numrodepage"/>
        <w:rFonts w:ascii="Arial Narrow" w:hAnsi="Arial Narrow"/>
        <w:noProof/>
      </w:rPr>
      <w:t>4</w:t>
    </w:r>
    <w:r w:rsidR="00060E7F" w:rsidRPr="00651D35">
      <w:rPr>
        <w:rStyle w:val="Numrodepage"/>
        <w:rFonts w:ascii="Arial Narrow" w:hAnsi="Arial Narrow"/>
      </w:rPr>
      <w:fldChar w:fldCharType="end"/>
    </w:r>
    <w:r w:rsidRPr="00C048E1">
      <w:rPr>
        <w:rStyle w:val="Numrodepage"/>
      </w:rPr>
      <w:tab/>
    </w:r>
  </w:p>
  <w:p w:rsidR="006055BB" w:rsidRPr="007303D1" w:rsidRDefault="00C3169E" w:rsidP="00C3169E">
    <w:pPr>
      <w:pStyle w:val="Pieddepage"/>
      <w:tabs>
        <w:tab w:val="clear" w:pos="4536"/>
        <w:tab w:val="clear" w:pos="9072"/>
        <w:tab w:val="left" w:pos="42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EB" w:rsidRDefault="00CE27EB" w:rsidP="00437985">
      <w:r>
        <w:separator/>
      </w:r>
    </w:p>
  </w:footnote>
  <w:footnote w:type="continuationSeparator" w:id="0">
    <w:p w:rsidR="00CE27EB" w:rsidRDefault="00CE27EB" w:rsidP="0043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EF1C0C"/>
    <w:multiLevelType w:val="hybridMultilevel"/>
    <w:tmpl w:val="398898F4"/>
    <w:lvl w:ilvl="0" w:tplc="5C745226">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FC4F0B"/>
    <w:multiLevelType w:val="hybridMultilevel"/>
    <w:tmpl w:val="7D62A4FE"/>
    <w:lvl w:ilvl="0" w:tplc="040C0005">
      <w:start w:val="1"/>
      <w:numFmt w:val="bullet"/>
      <w:lvlText w:val=""/>
      <w:lvlJc w:val="left"/>
      <w:pPr>
        <w:tabs>
          <w:tab w:val="num" w:pos="360"/>
        </w:tabs>
        <w:ind w:left="360" w:hanging="360"/>
      </w:pPr>
      <w:rPr>
        <w:rFonts w:ascii="Wingdings" w:hAnsi="Wingdings" w:hint="default"/>
        <w:color w:val="auto"/>
      </w:rPr>
    </w:lvl>
    <w:lvl w:ilvl="1" w:tplc="4AD42722">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11A40E74">
      <w:start w:val="14"/>
      <w:numFmt w:val="bullet"/>
      <w:lvlText w:val=""/>
      <w:lvlJc w:val="left"/>
      <w:pPr>
        <w:tabs>
          <w:tab w:val="num" w:pos="2160"/>
        </w:tabs>
        <w:ind w:left="2160" w:hanging="360"/>
      </w:pPr>
      <w:rPr>
        <w:rFonts w:ascii="Wingdings" w:eastAsia="Calibri"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246E49C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975771"/>
    <w:multiLevelType w:val="hybridMultilevel"/>
    <w:tmpl w:val="A5540FA6"/>
    <w:lvl w:ilvl="0" w:tplc="8EE0C9F2">
      <w:start w:val="1"/>
      <w:numFmt w:val="decimal"/>
      <w:pStyle w:val="Titre2"/>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pStyle w:val="Titre3"/>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7">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3">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nsid w:val="71CC683F"/>
    <w:multiLevelType w:val="multilevel"/>
    <w:tmpl w:val="AE28AD34"/>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8">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25"/>
  </w:num>
  <w:num w:numId="14">
    <w:abstractNumId w:val="32"/>
  </w:num>
  <w:num w:numId="15">
    <w:abstractNumId w:val="37"/>
    <w:lvlOverride w:ilvl="0">
      <w:lvl w:ilvl="0">
        <w:start w:val="1"/>
        <w:numFmt w:val="decimal"/>
        <w:pStyle w:val="Titre1"/>
        <w:lvlText w:val="%1."/>
        <w:lvlJc w:val="left"/>
        <w:pPr>
          <w:ind w:left="36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6">
    <w:abstractNumId w:val="39"/>
  </w:num>
  <w:num w:numId="17">
    <w:abstractNumId w:val="24"/>
  </w:num>
  <w:num w:numId="18">
    <w:abstractNumId w:val="15"/>
  </w:num>
  <w:num w:numId="19">
    <w:abstractNumId w:val="17"/>
  </w:num>
  <w:num w:numId="20">
    <w:abstractNumId w:val="33"/>
  </w:num>
  <w:num w:numId="21">
    <w:abstractNumId w:val="18"/>
  </w:num>
  <w:num w:numId="22">
    <w:abstractNumId w:val="14"/>
  </w:num>
  <w:num w:numId="23">
    <w:abstractNumId w:val="13"/>
  </w:num>
  <w:num w:numId="24">
    <w:abstractNumId w:val="7"/>
  </w:num>
  <w:num w:numId="25">
    <w:abstractNumId w:val="16"/>
  </w:num>
  <w:num w:numId="26">
    <w:abstractNumId w:val="28"/>
  </w:num>
  <w:num w:numId="27">
    <w:abstractNumId w:val="30"/>
  </w:num>
  <w:num w:numId="28">
    <w:abstractNumId w:val="31"/>
  </w:num>
  <w:num w:numId="29">
    <w:abstractNumId w:val="22"/>
  </w:num>
  <w:num w:numId="30">
    <w:abstractNumId w:val="29"/>
  </w:num>
  <w:num w:numId="31">
    <w:abstractNumId w:val="11"/>
  </w:num>
  <w:num w:numId="32">
    <w:abstractNumId w:val="37"/>
  </w:num>
  <w:num w:numId="33">
    <w:abstractNumId w:val="38"/>
  </w:num>
  <w:num w:numId="34">
    <w:abstractNumId w:val="27"/>
  </w:num>
  <w:num w:numId="35">
    <w:abstractNumId w:val="21"/>
  </w:num>
  <w:num w:numId="36">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7"/>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4"/>
  </w:num>
  <w:num w:numId="39">
    <w:abstractNumId w:val="12"/>
  </w:num>
  <w:num w:numId="40">
    <w:abstractNumId w:val="19"/>
  </w:num>
  <w:num w:numId="41">
    <w:abstractNumId w:val="36"/>
  </w:num>
  <w:num w:numId="42">
    <w:abstractNumId w:val="20"/>
  </w:num>
  <w:num w:numId="4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5B"/>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107D"/>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1619"/>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80C"/>
    <w:rsid w:val="00150AA2"/>
    <w:rsid w:val="00151745"/>
    <w:rsid w:val="0015238B"/>
    <w:rsid w:val="001543CD"/>
    <w:rsid w:val="001550C1"/>
    <w:rsid w:val="001555E6"/>
    <w:rsid w:val="001561FD"/>
    <w:rsid w:val="0015625F"/>
    <w:rsid w:val="00156827"/>
    <w:rsid w:val="001568C7"/>
    <w:rsid w:val="00156A94"/>
    <w:rsid w:val="0015729E"/>
    <w:rsid w:val="00157437"/>
    <w:rsid w:val="00157AA3"/>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906B2"/>
    <w:rsid w:val="001913D0"/>
    <w:rsid w:val="00191893"/>
    <w:rsid w:val="00191BD6"/>
    <w:rsid w:val="00191F0D"/>
    <w:rsid w:val="00191FD9"/>
    <w:rsid w:val="00192473"/>
    <w:rsid w:val="0019360D"/>
    <w:rsid w:val="001937FC"/>
    <w:rsid w:val="00193BDD"/>
    <w:rsid w:val="001945EB"/>
    <w:rsid w:val="00195208"/>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0DF7"/>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0B9"/>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050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74A"/>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5CDA"/>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54FC"/>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17E1"/>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0993"/>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1CB6"/>
    <w:rsid w:val="00344C95"/>
    <w:rsid w:val="00345561"/>
    <w:rsid w:val="003458E7"/>
    <w:rsid w:val="0034687C"/>
    <w:rsid w:val="00346FF6"/>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0DC4"/>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6AFE"/>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C3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09F3"/>
    <w:rsid w:val="006119C0"/>
    <w:rsid w:val="00611AA3"/>
    <w:rsid w:val="00611CE7"/>
    <w:rsid w:val="006123A1"/>
    <w:rsid w:val="006128A4"/>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185"/>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424"/>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47F14"/>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B71"/>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020D"/>
    <w:rsid w:val="00782DC1"/>
    <w:rsid w:val="00783090"/>
    <w:rsid w:val="007833D8"/>
    <w:rsid w:val="007837C9"/>
    <w:rsid w:val="00783B24"/>
    <w:rsid w:val="00783FD1"/>
    <w:rsid w:val="0078411B"/>
    <w:rsid w:val="00784326"/>
    <w:rsid w:val="0078569D"/>
    <w:rsid w:val="00785819"/>
    <w:rsid w:val="00785ADA"/>
    <w:rsid w:val="00787543"/>
    <w:rsid w:val="007908C7"/>
    <w:rsid w:val="00791873"/>
    <w:rsid w:val="00791A38"/>
    <w:rsid w:val="00791B8F"/>
    <w:rsid w:val="00791E61"/>
    <w:rsid w:val="0079215C"/>
    <w:rsid w:val="00792BE7"/>
    <w:rsid w:val="00793375"/>
    <w:rsid w:val="0079437D"/>
    <w:rsid w:val="00794552"/>
    <w:rsid w:val="00794E35"/>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D31"/>
    <w:rsid w:val="007C5D5E"/>
    <w:rsid w:val="007C63A5"/>
    <w:rsid w:val="007C68C7"/>
    <w:rsid w:val="007C6D1A"/>
    <w:rsid w:val="007C6DAE"/>
    <w:rsid w:val="007D07F9"/>
    <w:rsid w:val="007D0BDC"/>
    <w:rsid w:val="007D156A"/>
    <w:rsid w:val="007D3FE8"/>
    <w:rsid w:val="007D443D"/>
    <w:rsid w:val="007D4CBE"/>
    <w:rsid w:val="007D5609"/>
    <w:rsid w:val="007D563D"/>
    <w:rsid w:val="007D5905"/>
    <w:rsid w:val="007D6840"/>
    <w:rsid w:val="007D797E"/>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0DB7"/>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E15"/>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7D1"/>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4890"/>
    <w:rsid w:val="0095505A"/>
    <w:rsid w:val="0096021D"/>
    <w:rsid w:val="00960232"/>
    <w:rsid w:val="00961A8B"/>
    <w:rsid w:val="00961BD5"/>
    <w:rsid w:val="00962895"/>
    <w:rsid w:val="00963D02"/>
    <w:rsid w:val="00963FE8"/>
    <w:rsid w:val="009642C1"/>
    <w:rsid w:val="00964EA5"/>
    <w:rsid w:val="00966139"/>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371E"/>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5B60"/>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BBD"/>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0F95"/>
    <w:rsid w:val="00AD2FD6"/>
    <w:rsid w:val="00AD3570"/>
    <w:rsid w:val="00AD36B4"/>
    <w:rsid w:val="00AD396D"/>
    <w:rsid w:val="00AD3F15"/>
    <w:rsid w:val="00AD5A28"/>
    <w:rsid w:val="00AD5D16"/>
    <w:rsid w:val="00AD62F5"/>
    <w:rsid w:val="00AD64CE"/>
    <w:rsid w:val="00AD64E3"/>
    <w:rsid w:val="00AD6A8A"/>
    <w:rsid w:val="00AD7475"/>
    <w:rsid w:val="00AD7A80"/>
    <w:rsid w:val="00AD7C1B"/>
    <w:rsid w:val="00AD7EA5"/>
    <w:rsid w:val="00AD7F13"/>
    <w:rsid w:val="00AE1404"/>
    <w:rsid w:val="00AE24FB"/>
    <w:rsid w:val="00AE2FE7"/>
    <w:rsid w:val="00AE34E1"/>
    <w:rsid w:val="00AE3F21"/>
    <w:rsid w:val="00AE4081"/>
    <w:rsid w:val="00AE42E8"/>
    <w:rsid w:val="00AE4612"/>
    <w:rsid w:val="00AE5798"/>
    <w:rsid w:val="00AE678D"/>
    <w:rsid w:val="00AE7858"/>
    <w:rsid w:val="00AF0501"/>
    <w:rsid w:val="00AF08B8"/>
    <w:rsid w:val="00AF14CA"/>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6D0"/>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890"/>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3B48"/>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54D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73D"/>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42E"/>
    <w:rsid w:val="00C8055F"/>
    <w:rsid w:val="00C807A0"/>
    <w:rsid w:val="00C81677"/>
    <w:rsid w:val="00C816B6"/>
    <w:rsid w:val="00C8188A"/>
    <w:rsid w:val="00C8314E"/>
    <w:rsid w:val="00C83A4E"/>
    <w:rsid w:val="00C84088"/>
    <w:rsid w:val="00C8587D"/>
    <w:rsid w:val="00C85B41"/>
    <w:rsid w:val="00C861EA"/>
    <w:rsid w:val="00C86AC1"/>
    <w:rsid w:val="00C87A6F"/>
    <w:rsid w:val="00C87C68"/>
    <w:rsid w:val="00C900AB"/>
    <w:rsid w:val="00C91AEB"/>
    <w:rsid w:val="00C92578"/>
    <w:rsid w:val="00C92880"/>
    <w:rsid w:val="00C9365E"/>
    <w:rsid w:val="00C94165"/>
    <w:rsid w:val="00C94216"/>
    <w:rsid w:val="00C94655"/>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B8B"/>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2F46"/>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7EB"/>
    <w:rsid w:val="00CE29BD"/>
    <w:rsid w:val="00CE2CBB"/>
    <w:rsid w:val="00CE307F"/>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4D05"/>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1FCD"/>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0292"/>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60C"/>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257"/>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5D2A"/>
    <w:rsid w:val="00EA62D1"/>
    <w:rsid w:val="00EB00C1"/>
    <w:rsid w:val="00EB02C2"/>
    <w:rsid w:val="00EB0455"/>
    <w:rsid w:val="00EB06DB"/>
    <w:rsid w:val="00EB14D9"/>
    <w:rsid w:val="00EB2156"/>
    <w:rsid w:val="00EB37BF"/>
    <w:rsid w:val="00EB593A"/>
    <w:rsid w:val="00EB7214"/>
    <w:rsid w:val="00EB770F"/>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93F"/>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604"/>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45468"/>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5836"/>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4F5B"/>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954890"/>
    <w:pPr>
      <w:keepLines w:val="0"/>
      <w:numPr>
        <w:numId w:val="15"/>
      </w:numPr>
      <w:tabs>
        <w:tab w:val="num" w:pos="426"/>
      </w:tabs>
      <w:overflowPunct/>
      <w:autoSpaceDE/>
      <w:autoSpaceDN/>
      <w:adjustRightInd/>
      <w:spacing w:after="120" w:line="240" w:lineRule="auto"/>
      <w:ind w:left="425" w:hanging="425"/>
      <w:jc w:val="left"/>
      <w:outlineLvl w:val="0"/>
    </w:pPr>
    <w:rPr>
      <w:rFonts w:ascii="Arial Narrow" w:hAnsi="Arial Narrow"/>
      <w:caps/>
      <w:sz w:val="22"/>
      <w:szCs w:val="22"/>
    </w:rPr>
  </w:style>
  <w:style w:type="paragraph" w:styleId="Titre2">
    <w:name w:val="heading 2"/>
    <w:basedOn w:val="Normal"/>
    <w:next w:val="Corpsdetexte"/>
    <w:link w:val="Titre2Car"/>
    <w:qFormat/>
    <w:rsid w:val="00954890"/>
    <w:pPr>
      <w:keepNext/>
      <w:numPr>
        <w:numId w:val="43"/>
      </w:numPr>
      <w:tabs>
        <w:tab w:val="left" w:pos="426"/>
      </w:tabs>
      <w:spacing w:before="240"/>
      <w:ind w:hanging="720"/>
      <w:jc w:val="both"/>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54890"/>
    <w:rPr>
      <w:rFonts w:ascii="Arial Narrow" w:hAnsi="Arial Narrow"/>
      <w:b/>
      <w:caps/>
      <w:sz w:val="22"/>
      <w:szCs w:val="22"/>
    </w:rPr>
  </w:style>
  <w:style w:type="character" w:customStyle="1" w:styleId="Titre2Car">
    <w:name w:val="Titre 2 Car"/>
    <w:link w:val="Titre2"/>
    <w:rsid w:val="00954890"/>
    <w:rPr>
      <w:rFonts w:ascii="Arial Narrow" w:hAnsi="Arial Narrow"/>
      <w:b/>
      <w:smallCaps/>
      <w:spacing w:val="6"/>
      <w:sz w:val="22"/>
      <w:szCs w:val="22"/>
      <w:lang w:eastAsia="en-US"/>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255CDA"/>
    <w:pPr>
      <w:spacing w:before="200"/>
      <w:jc w:val="both"/>
    </w:pPr>
    <w:rPr>
      <w:rFonts w:ascii="Arial Narrow" w:eastAsia="Calibri"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683185"/>
    <w:pPr>
      <w:numPr>
        <w:ilvl w:val="1"/>
        <w:numId w:val="19"/>
      </w:numPr>
      <w:tabs>
        <w:tab w:val="clear" w:pos="2160"/>
        <w:tab w:val="num" w:pos="567"/>
      </w:tabs>
      <w:spacing w:before="0"/>
      <w:ind w:left="568" w:hanging="284"/>
      <w:jc w:val="both"/>
    </w:pPr>
    <w:rPr>
      <w:rFonts w:ascii="Arial Narrow" w:eastAsia="Calibri" w:hAnsi="Arial Narrow"/>
      <w:sz w:val="20"/>
      <w:lang w:eastAsia="fr-FR"/>
    </w:rPr>
  </w:style>
  <w:style w:type="paragraph" w:customStyle="1" w:styleId="listepuces20">
    <w:name w:val="liste à puces 2"/>
    <w:basedOn w:val="Normal"/>
    <w:next w:val="Paragrretrait1"/>
    <w:qFormat/>
    <w:rsid w:val="00255CDA"/>
    <w:pPr>
      <w:numPr>
        <w:numId w:val="18"/>
      </w:numPr>
      <w:tabs>
        <w:tab w:val="left" w:pos="426"/>
      </w:tabs>
      <w:spacing w:before="200"/>
      <w:ind w:left="426" w:hanging="284"/>
      <w:jc w:val="both"/>
    </w:pPr>
    <w:rPr>
      <w:rFonts w:ascii="Arial Narrow" w:eastAsia="Calibri" w:hAnsi="Arial Narrow"/>
      <w:bCs/>
      <w:sz w:val="22"/>
      <w:szCs w:val="22"/>
      <w:lang w:eastAsia="fr-FR"/>
    </w:rPr>
  </w:style>
  <w:style w:type="paragraph" w:customStyle="1" w:styleId="Paragrretrait1">
    <w:name w:val="Paragr_retrait_1"/>
    <w:basedOn w:val="Normal"/>
    <w:qFormat/>
    <w:rsid w:val="00CB0B8B"/>
    <w:pPr>
      <w:spacing w:before="120"/>
      <w:ind w:left="851"/>
      <w:jc w:val="both"/>
    </w:pPr>
    <w:rPr>
      <w:rFonts w:ascii="Arial Narrow" w:eastAsia="Calibri" w:hAnsi="Arial Narrow"/>
      <w:color w:val="0000FF"/>
      <w:sz w:val="20"/>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954890"/>
    <w:pPr>
      <w:keepLines w:val="0"/>
      <w:numPr>
        <w:numId w:val="15"/>
      </w:numPr>
      <w:tabs>
        <w:tab w:val="num" w:pos="426"/>
      </w:tabs>
      <w:overflowPunct/>
      <w:autoSpaceDE/>
      <w:autoSpaceDN/>
      <w:adjustRightInd/>
      <w:spacing w:after="120" w:line="240" w:lineRule="auto"/>
      <w:ind w:left="425" w:hanging="425"/>
      <w:jc w:val="left"/>
      <w:outlineLvl w:val="0"/>
    </w:pPr>
    <w:rPr>
      <w:rFonts w:ascii="Arial Narrow" w:hAnsi="Arial Narrow"/>
      <w:caps/>
      <w:sz w:val="22"/>
      <w:szCs w:val="22"/>
    </w:rPr>
  </w:style>
  <w:style w:type="paragraph" w:styleId="Titre2">
    <w:name w:val="heading 2"/>
    <w:basedOn w:val="Normal"/>
    <w:next w:val="Corpsdetexte"/>
    <w:link w:val="Titre2Car"/>
    <w:qFormat/>
    <w:rsid w:val="00954890"/>
    <w:pPr>
      <w:keepNext/>
      <w:numPr>
        <w:numId w:val="43"/>
      </w:numPr>
      <w:tabs>
        <w:tab w:val="left" w:pos="426"/>
      </w:tabs>
      <w:spacing w:before="240"/>
      <w:ind w:hanging="720"/>
      <w:jc w:val="both"/>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54890"/>
    <w:rPr>
      <w:rFonts w:ascii="Arial Narrow" w:hAnsi="Arial Narrow"/>
      <w:b/>
      <w:caps/>
      <w:sz w:val="22"/>
      <w:szCs w:val="22"/>
    </w:rPr>
  </w:style>
  <w:style w:type="character" w:customStyle="1" w:styleId="Titre2Car">
    <w:name w:val="Titre 2 Car"/>
    <w:link w:val="Titre2"/>
    <w:rsid w:val="00954890"/>
    <w:rPr>
      <w:rFonts w:ascii="Arial Narrow" w:hAnsi="Arial Narrow"/>
      <w:b/>
      <w:smallCaps/>
      <w:spacing w:val="6"/>
      <w:sz w:val="22"/>
      <w:szCs w:val="22"/>
      <w:lang w:eastAsia="en-US"/>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255CDA"/>
    <w:pPr>
      <w:spacing w:before="200"/>
      <w:jc w:val="both"/>
    </w:pPr>
    <w:rPr>
      <w:rFonts w:ascii="Arial Narrow" w:eastAsia="Calibri"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683185"/>
    <w:pPr>
      <w:numPr>
        <w:ilvl w:val="1"/>
        <w:numId w:val="19"/>
      </w:numPr>
      <w:tabs>
        <w:tab w:val="clear" w:pos="2160"/>
        <w:tab w:val="num" w:pos="567"/>
      </w:tabs>
      <w:spacing w:before="0"/>
      <w:ind w:left="568" w:hanging="284"/>
      <w:jc w:val="both"/>
    </w:pPr>
    <w:rPr>
      <w:rFonts w:ascii="Arial Narrow" w:eastAsia="Calibri" w:hAnsi="Arial Narrow"/>
      <w:sz w:val="20"/>
      <w:lang w:eastAsia="fr-FR"/>
    </w:rPr>
  </w:style>
  <w:style w:type="paragraph" w:customStyle="1" w:styleId="listepuces20">
    <w:name w:val="liste à puces 2"/>
    <w:basedOn w:val="Normal"/>
    <w:next w:val="Paragrretrait1"/>
    <w:qFormat/>
    <w:rsid w:val="00255CDA"/>
    <w:pPr>
      <w:numPr>
        <w:numId w:val="18"/>
      </w:numPr>
      <w:tabs>
        <w:tab w:val="left" w:pos="426"/>
      </w:tabs>
      <w:spacing w:before="200"/>
      <w:ind w:left="426" w:hanging="284"/>
      <w:jc w:val="both"/>
    </w:pPr>
    <w:rPr>
      <w:rFonts w:ascii="Arial Narrow" w:eastAsia="Calibri" w:hAnsi="Arial Narrow"/>
      <w:bCs/>
      <w:sz w:val="22"/>
      <w:szCs w:val="22"/>
      <w:lang w:eastAsia="fr-FR"/>
    </w:rPr>
  </w:style>
  <w:style w:type="paragraph" w:customStyle="1" w:styleId="Paragrretrait1">
    <w:name w:val="Paragr_retrait_1"/>
    <w:basedOn w:val="Normal"/>
    <w:qFormat/>
    <w:rsid w:val="00CB0B8B"/>
    <w:pPr>
      <w:spacing w:before="120"/>
      <w:ind w:left="851"/>
      <w:jc w:val="both"/>
    </w:pPr>
    <w:rPr>
      <w:rFonts w:ascii="Arial Narrow" w:eastAsia="Calibri" w:hAnsi="Arial Narrow"/>
      <w:color w:val="0000FF"/>
      <w:sz w:val="20"/>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9162-21DE-4027-A20D-54EB8218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18</TotalTime>
  <Pages>1</Pages>
  <Words>2357</Words>
  <Characters>12966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15293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9</cp:revision>
  <cp:lastPrinted>2016-07-04T09:23:00Z</cp:lastPrinted>
  <dcterms:created xsi:type="dcterms:W3CDTF">2016-04-20T12:02:00Z</dcterms:created>
  <dcterms:modified xsi:type="dcterms:W3CDTF">2016-07-04T09:51:00Z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