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DF" w:rsidRPr="00384348" w:rsidRDefault="00F12CDF" w:rsidP="00F12CDF">
      <w:pPr>
        <w:ind w:left="113" w:right="113"/>
        <w:jc w:val="center"/>
        <w:rPr>
          <w:b/>
          <w:bCs/>
          <w:u w:val="single"/>
        </w:rPr>
      </w:pPr>
      <w:bookmarkStart w:id="0" w:name="_GoBack"/>
      <w:bookmarkEnd w:id="0"/>
      <w:r w:rsidRPr="00384348">
        <w:rPr>
          <w:b/>
          <w:bCs/>
          <w:u w:val="single"/>
        </w:rPr>
        <w:t>COUR DE CASSATION</w:t>
      </w:r>
    </w:p>
    <w:p w:rsidR="00F12CDF" w:rsidRPr="00384348" w:rsidRDefault="00F12CDF" w:rsidP="00F12CDF">
      <w:pPr>
        <w:ind w:left="113" w:right="113"/>
        <w:jc w:val="center"/>
        <w:rPr>
          <w:b/>
          <w:bCs/>
          <w:u w:val="single"/>
        </w:rPr>
      </w:pPr>
    </w:p>
    <w:p w:rsidR="00F12CDF" w:rsidRPr="00384348" w:rsidRDefault="00F12CDF" w:rsidP="00F12CDF">
      <w:pPr>
        <w:ind w:left="113" w:right="113"/>
        <w:jc w:val="center"/>
        <w:rPr>
          <w:b/>
          <w:bCs/>
          <w:u w:val="single"/>
        </w:rPr>
      </w:pPr>
      <w:r w:rsidRPr="00384348">
        <w:rPr>
          <w:b/>
          <w:bCs/>
          <w:u w:val="single"/>
        </w:rPr>
        <w:t>CHAMBRES CIVILES</w:t>
      </w:r>
    </w:p>
    <w:p w:rsidR="00F12CDF" w:rsidRPr="00384348" w:rsidRDefault="00F12CDF" w:rsidP="00F12CDF">
      <w:pPr>
        <w:ind w:left="113" w:right="113"/>
        <w:jc w:val="center"/>
        <w:rPr>
          <w:b/>
          <w:bCs/>
          <w:u w:val="single"/>
        </w:rPr>
      </w:pPr>
    </w:p>
    <w:p w:rsidR="00F12CDF" w:rsidRPr="00384348" w:rsidRDefault="00D17E46" w:rsidP="00F12CDF">
      <w:pPr>
        <w:ind w:left="113" w:right="113"/>
        <w:jc w:val="center"/>
        <w:rPr>
          <w:b/>
          <w:bCs/>
          <w:u w:val="single"/>
        </w:rPr>
      </w:pPr>
      <w:r>
        <w:rPr>
          <w:b/>
          <w:bCs/>
          <w:u w:val="single"/>
        </w:rPr>
        <w:t>REPLIQUE</w:t>
      </w:r>
    </w:p>
    <w:p w:rsidR="00F12CDF" w:rsidRDefault="00F12CDF" w:rsidP="00F12CDF">
      <w:pPr>
        <w:ind w:left="113" w:right="113"/>
        <w:jc w:val="center"/>
        <w:rPr>
          <w:b/>
          <w:bCs/>
          <w:sz w:val="28"/>
          <w:szCs w:val="28"/>
          <w:u w:val="single"/>
        </w:rPr>
      </w:pPr>
    </w:p>
    <w:p w:rsidR="00F12CDF" w:rsidRDefault="00F12CDF" w:rsidP="00F12CDF">
      <w:pPr>
        <w:ind w:right="113"/>
        <w:rPr>
          <w:b/>
          <w:bCs/>
          <w:u w:val="single"/>
        </w:rPr>
      </w:pPr>
    </w:p>
    <w:p w:rsidR="00F12CDF" w:rsidRDefault="00F12CDF" w:rsidP="00F12CDF">
      <w:pPr>
        <w:ind w:left="113" w:right="113"/>
        <w:jc w:val="center"/>
        <w:rPr>
          <w:b/>
          <w:bCs/>
          <w:u w:val="single"/>
        </w:rPr>
      </w:pPr>
    </w:p>
    <w:p w:rsidR="00F12CDF" w:rsidRDefault="00F12CDF" w:rsidP="00F12CDF">
      <w:pPr>
        <w:ind w:left="1800" w:right="113" w:hanging="1687"/>
        <w:jc w:val="both"/>
        <w:rPr>
          <w:b/>
          <w:bCs/>
        </w:rPr>
      </w:pPr>
      <w:r>
        <w:rPr>
          <w:b/>
          <w:bCs/>
          <w:u w:val="single"/>
        </w:rPr>
        <w:t>POUR</w:t>
      </w:r>
      <w:r>
        <w:rPr>
          <w:b/>
          <w:bCs/>
        </w:rPr>
        <w:t xml:space="preserve"> :</w:t>
      </w:r>
    </w:p>
    <w:p w:rsidR="00F12CDF" w:rsidRDefault="00F12CDF" w:rsidP="00F12CDF">
      <w:pPr>
        <w:ind w:left="1800" w:right="113" w:hanging="1687"/>
        <w:jc w:val="both"/>
        <w:rPr>
          <w:b/>
          <w:bCs/>
        </w:rPr>
      </w:pPr>
    </w:p>
    <w:p w:rsidR="00F12CDF" w:rsidRPr="00EA7AB1" w:rsidRDefault="00F12CDF" w:rsidP="00F12CDF">
      <w:pPr>
        <w:ind w:left="1800" w:right="113" w:hanging="1687"/>
        <w:jc w:val="both"/>
        <w:rPr>
          <w:bCs/>
        </w:rPr>
      </w:pPr>
      <w:r>
        <w:rPr>
          <w:bCs/>
        </w:rPr>
        <w:t>Madame Sylvie PASQUIER</w:t>
      </w:r>
    </w:p>
    <w:p w:rsidR="00F12CDF" w:rsidRDefault="00F12CDF" w:rsidP="00F12CDF">
      <w:pPr>
        <w:ind w:left="180" w:right="113" w:hanging="67"/>
      </w:pPr>
    </w:p>
    <w:p w:rsidR="00F12CDF" w:rsidRDefault="00F12CDF" w:rsidP="00F12CDF">
      <w:pPr>
        <w:ind w:left="113" w:right="113"/>
        <w:rPr>
          <w:i/>
          <w:iCs/>
        </w:rPr>
      </w:pPr>
      <w:r>
        <w:rPr>
          <w:i/>
          <w:iCs/>
        </w:rPr>
        <w:t>Ayant pour Avocat à la Cour de cassation la SCP GATINEAU – FATTACCINI</w:t>
      </w:r>
    </w:p>
    <w:p w:rsidR="00F12CDF" w:rsidRDefault="00F12CDF" w:rsidP="00F12CDF">
      <w:pPr>
        <w:ind w:right="113"/>
      </w:pPr>
    </w:p>
    <w:p w:rsidR="00F12CDF" w:rsidRDefault="00F12CDF" w:rsidP="00F12CDF">
      <w:pPr>
        <w:ind w:left="1800" w:right="113" w:hanging="1687"/>
        <w:rPr>
          <w:b/>
          <w:bCs/>
          <w:u w:val="single"/>
        </w:rPr>
      </w:pPr>
    </w:p>
    <w:p w:rsidR="00F12CDF" w:rsidRDefault="00F12CDF" w:rsidP="00F12CDF">
      <w:pPr>
        <w:ind w:left="1800" w:right="113" w:hanging="1687"/>
        <w:rPr>
          <w:b/>
          <w:bCs/>
        </w:rPr>
      </w:pPr>
      <w:r>
        <w:rPr>
          <w:b/>
          <w:bCs/>
          <w:u w:val="single"/>
        </w:rPr>
        <w:t>CONTRE</w:t>
      </w:r>
      <w:r>
        <w:rPr>
          <w:b/>
          <w:bCs/>
        </w:rPr>
        <w:t xml:space="preserve"> :</w:t>
      </w:r>
    </w:p>
    <w:p w:rsidR="00F12CDF" w:rsidRDefault="00F12CDF" w:rsidP="00F12CDF">
      <w:pPr>
        <w:ind w:left="1800" w:right="113" w:hanging="1687"/>
        <w:rPr>
          <w:i/>
          <w:iCs/>
        </w:rPr>
      </w:pPr>
    </w:p>
    <w:p w:rsidR="00F12CDF" w:rsidRPr="00BE210D" w:rsidRDefault="00F12CDF" w:rsidP="00F12CDF">
      <w:pPr>
        <w:numPr>
          <w:ilvl w:val="0"/>
          <w:numId w:val="1"/>
        </w:numPr>
        <w:ind w:right="113"/>
        <w:rPr>
          <w:iCs/>
        </w:rPr>
      </w:pPr>
      <w:r>
        <w:rPr>
          <w:bCs/>
        </w:rPr>
        <w:t>l</w:t>
      </w:r>
      <w:r w:rsidRPr="00BE210D">
        <w:rPr>
          <w:bCs/>
        </w:rPr>
        <w:t>a CAISSE D’ASSURANCE VIEILLESSE INVALIDITE ET MALADIE DES CULTES – CAVIMAC</w:t>
      </w:r>
    </w:p>
    <w:p w:rsidR="00F12CDF" w:rsidRDefault="00F12CDF" w:rsidP="00F12CDF">
      <w:pPr>
        <w:ind w:left="113" w:right="113"/>
        <w:rPr>
          <w:bCs/>
        </w:rPr>
      </w:pPr>
    </w:p>
    <w:p w:rsidR="00F12CDF" w:rsidRDefault="00F12CDF" w:rsidP="00F12CDF">
      <w:pPr>
        <w:ind w:left="113" w:right="113"/>
        <w:rPr>
          <w:i/>
          <w:iCs/>
        </w:rPr>
      </w:pPr>
      <w:r w:rsidRPr="00F51A4A">
        <w:rPr>
          <w:i/>
          <w:iCs/>
        </w:rPr>
        <w:t xml:space="preserve">Ayant pour Avocat à </w:t>
      </w:r>
      <w:smartTag w:uri="urn:schemas-microsoft-com:office:smarttags" w:element="PersonName">
        <w:smartTagPr>
          <w:attr w:name="ProductID" w:val="la Cour"/>
        </w:smartTagPr>
        <w:r w:rsidRPr="00F51A4A">
          <w:rPr>
            <w:i/>
            <w:iCs/>
          </w:rPr>
          <w:t>la Cour</w:t>
        </w:r>
      </w:smartTag>
      <w:r w:rsidRPr="00F51A4A">
        <w:rPr>
          <w:i/>
          <w:iCs/>
        </w:rPr>
        <w:t xml:space="preserve"> de cassation la SCP WAQUET-FARGE-HAZAN</w:t>
      </w:r>
    </w:p>
    <w:p w:rsidR="00F12CDF" w:rsidRPr="00EB276E" w:rsidRDefault="00F12CDF" w:rsidP="00F12CDF">
      <w:pPr>
        <w:ind w:right="113"/>
        <w:rPr>
          <w:b/>
        </w:rPr>
      </w:pPr>
    </w:p>
    <w:p w:rsidR="00F12CDF" w:rsidRPr="00BE210D" w:rsidRDefault="00F12CDF" w:rsidP="00F12CDF">
      <w:pPr>
        <w:numPr>
          <w:ilvl w:val="0"/>
          <w:numId w:val="1"/>
        </w:numPr>
        <w:ind w:right="113"/>
        <w:rPr>
          <w:iCs/>
        </w:rPr>
      </w:pPr>
      <w:r>
        <w:rPr>
          <w:bCs/>
        </w:rPr>
        <w:t>l</w:t>
      </w:r>
      <w:r w:rsidRPr="00BE210D">
        <w:rPr>
          <w:bCs/>
        </w:rPr>
        <w:t>a CONGREGATION DES SŒURS DU SACRE CŒUR D’ERNEMONT</w:t>
      </w:r>
      <w:r>
        <w:rPr>
          <w:bCs/>
        </w:rPr>
        <w:t xml:space="preserve"> aux droits de laquelle vient la Congrégation des sœurs de Saint-Joseph de Cluny, prise en la personne de Mme Marie-Céline Houareau, supérieure générale</w:t>
      </w:r>
    </w:p>
    <w:p w:rsidR="00F12CDF" w:rsidRDefault="00F12CDF" w:rsidP="00F12CDF">
      <w:pPr>
        <w:ind w:left="1800" w:right="113" w:hanging="1687"/>
        <w:rPr>
          <w:iCs/>
        </w:rPr>
      </w:pPr>
    </w:p>
    <w:p w:rsidR="00F12CDF" w:rsidRDefault="00F12CDF" w:rsidP="00F12CDF">
      <w:pPr>
        <w:ind w:left="1800" w:right="113" w:hanging="1687"/>
        <w:rPr>
          <w:i/>
          <w:iCs/>
        </w:rPr>
      </w:pPr>
      <w:r w:rsidRPr="00F51A4A">
        <w:rPr>
          <w:i/>
          <w:iCs/>
        </w:rPr>
        <w:t xml:space="preserve">Ayant pour Avocat à </w:t>
      </w:r>
      <w:smartTag w:uri="urn:schemas-microsoft-com:office:smarttags" w:element="PersonName">
        <w:smartTagPr>
          <w:attr w:name="ProductID" w:val="la Cour"/>
        </w:smartTagPr>
        <w:r w:rsidRPr="00F51A4A">
          <w:rPr>
            <w:i/>
            <w:iCs/>
          </w:rPr>
          <w:t>la Cour</w:t>
        </w:r>
      </w:smartTag>
      <w:r w:rsidRPr="00F51A4A">
        <w:rPr>
          <w:i/>
          <w:iCs/>
        </w:rPr>
        <w:t xml:space="preserve"> de cassation</w:t>
      </w:r>
      <w:r>
        <w:rPr>
          <w:i/>
          <w:iCs/>
        </w:rPr>
        <w:t xml:space="preserve"> Maître Nicolas BOULLEZ</w:t>
      </w:r>
    </w:p>
    <w:p w:rsidR="00F12CDF" w:rsidRPr="00956D4F" w:rsidRDefault="00F12CDF" w:rsidP="00F12CDF">
      <w:pPr>
        <w:ind w:left="180" w:right="113"/>
      </w:pPr>
    </w:p>
    <w:p w:rsidR="00F12CDF" w:rsidRDefault="00F12CDF" w:rsidP="00F12CDF">
      <w:pPr>
        <w:ind w:left="180" w:right="113"/>
        <w:jc w:val="center"/>
        <w:rPr>
          <w:b/>
          <w:bCs/>
          <w:u w:val="single"/>
        </w:rPr>
      </w:pPr>
      <w:r>
        <w:rPr>
          <w:b/>
          <w:bCs/>
          <w:u w:val="single"/>
        </w:rPr>
        <w:t>Observations à l’appui du pourvoi n° A 16-14.140</w:t>
      </w:r>
    </w:p>
    <w:p w:rsidR="00F12CDF" w:rsidRDefault="00F12CDF"/>
    <w:p w:rsidR="00334E09" w:rsidRDefault="00334E09" w:rsidP="00F12CDF">
      <w:pPr>
        <w:ind w:right="113" w:firstLine="540"/>
        <w:jc w:val="both"/>
        <w:rPr>
          <w:bCs/>
        </w:rPr>
      </w:pPr>
      <w:r>
        <w:rPr>
          <w:bCs/>
        </w:rPr>
        <w:t xml:space="preserve">L’exposante entend répondre aux moyens </w:t>
      </w:r>
      <w:r w:rsidR="00845B6A">
        <w:rPr>
          <w:bCs/>
        </w:rPr>
        <w:t xml:space="preserve">d’irrecevabilité et </w:t>
      </w:r>
      <w:r>
        <w:rPr>
          <w:bCs/>
        </w:rPr>
        <w:t xml:space="preserve">de défense soulevés </w:t>
      </w:r>
      <w:r w:rsidR="00845B6A">
        <w:rPr>
          <w:bCs/>
        </w:rPr>
        <w:t xml:space="preserve">par </w:t>
      </w:r>
      <w:r>
        <w:rPr>
          <w:bCs/>
        </w:rPr>
        <w:t xml:space="preserve">la CAVIMAC et la Congrégation. </w:t>
      </w:r>
    </w:p>
    <w:p w:rsidR="00334E09" w:rsidRDefault="00334E09" w:rsidP="00F12CDF">
      <w:pPr>
        <w:ind w:right="113" w:firstLine="540"/>
        <w:jc w:val="both"/>
        <w:rPr>
          <w:bCs/>
        </w:rPr>
      </w:pPr>
    </w:p>
    <w:p w:rsidR="00F12CDF" w:rsidRDefault="00334E09" w:rsidP="00F12CDF">
      <w:pPr>
        <w:ind w:right="113" w:firstLine="540"/>
        <w:jc w:val="both"/>
        <w:rPr>
          <w:bCs/>
        </w:rPr>
      </w:pPr>
      <w:r>
        <w:rPr>
          <w:b/>
          <w:bCs/>
        </w:rPr>
        <w:t xml:space="preserve">I- </w:t>
      </w:r>
      <w:r w:rsidR="00F12CDF">
        <w:rPr>
          <w:bCs/>
        </w:rPr>
        <w:t>La Congrégation des sœurs de Saint-Joseph de Cluny, prise en la personne de Mme Marie-Céline Houareau, supérieure générale, croit devoir soutenir l’irrecevabilité du pourvoi en ce qu’il a été formé à l’encontre de la Congrégation des sœurs du Sacré Cœur d’Ernemont.</w:t>
      </w:r>
    </w:p>
    <w:p w:rsidR="00F12CDF" w:rsidRDefault="00F12CDF" w:rsidP="00F12CDF">
      <w:pPr>
        <w:ind w:right="113" w:firstLine="540"/>
        <w:jc w:val="both"/>
        <w:rPr>
          <w:bCs/>
        </w:rPr>
      </w:pPr>
    </w:p>
    <w:p w:rsidR="00F12CDF" w:rsidRDefault="00F12CDF" w:rsidP="00F12CDF">
      <w:pPr>
        <w:ind w:right="113" w:firstLine="540"/>
        <w:jc w:val="both"/>
        <w:rPr>
          <w:bCs/>
        </w:rPr>
      </w:pPr>
      <w:r>
        <w:rPr>
          <w:bCs/>
        </w:rPr>
        <w:t xml:space="preserve">Elle expose que cette congrégation a été dissoute par décret du 15 novembre 2012 portant abrogation </w:t>
      </w:r>
      <w:r w:rsidR="000E328A">
        <w:rPr>
          <w:bCs/>
        </w:rPr>
        <w:t xml:space="preserve">du </w:t>
      </w:r>
      <w:r>
        <w:rPr>
          <w:bCs/>
        </w:rPr>
        <w:t>décret impérial du 19 janvier 1811 autorisant la Congrégation des sœurs hospitalières d’Ernemont.</w:t>
      </w:r>
    </w:p>
    <w:p w:rsidR="00F12CDF" w:rsidRDefault="00F12CDF" w:rsidP="00F12CDF">
      <w:pPr>
        <w:ind w:right="113" w:firstLine="540"/>
        <w:jc w:val="both"/>
        <w:rPr>
          <w:bCs/>
        </w:rPr>
      </w:pPr>
    </w:p>
    <w:p w:rsidR="00F12CDF" w:rsidRDefault="00F12CDF" w:rsidP="00F12CDF">
      <w:pPr>
        <w:ind w:right="113" w:firstLine="540"/>
        <w:jc w:val="both"/>
        <w:rPr>
          <w:bCs/>
        </w:rPr>
      </w:pPr>
      <w:r>
        <w:rPr>
          <w:bCs/>
        </w:rPr>
        <w:t>Ainsi donc, au cours de l’instance d’appel</w:t>
      </w:r>
      <w:r w:rsidR="00334E09">
        <w:rPr>
          <w:bCs/>
        </w:rPr>
        <w:t xml:space="preserve"> – la </w:t>
      </w:r>
      <w:r w:rsidR="00334E09" w:rsidRPr="0081171B">
        <w:rPr>
          <w:bCs/>
          <w:u w:val="single"/>
        </w:rPr>
        <w:t>première</w:t>
      </w:r>
      <w:r w:rsidR="00334E09">
        <w:rPr>
          <w:bCs/>
        </w:rPr>
        <w:t xml:space="preserve"> </w:t>
      </w:r>
      <w:r w:rsidR="009F24A5">
        <w:rPr>
          <w:bCs/>
        </w:rPr>
        <w:t xml:space="preserve">instance d’appel </w:t>
      </w:r>
      <w:r w:rsidR="00334E09">
        <w:rPr>
          <w:bCs/>
        </w:rPr>
        <w:t>pour être précis -</w:t>
      </w:r>
      <w:r>
        <w:rPr>
          <w:bCs/>
        </w:rPr>
        <w:t>, la Congrégation des sœurs de Saint-Joseph de Cluny est venue aux droits de la Congrégation des sœurs du Sacré Cœur d’Ernemont.</w:t>
      </w:r>
    </w:p>
    <w:p w:rsidR="000E328A" w:rsidRDefault="000E328A" w:rsidP="00F12CDF">
      <w:pPr>
        <w:ind w:right="113" w:firstLine="540"/>
        <w:jc w:val="both"/>
        <w:rPr>
          <w:bCs/>
        </w:rPr>
      </w:pPr>
    </w:p>
    <w:p w:rsidR="000E328A" w:rsidRDefault="000E328A" w:rsidP="00F12CDF">
      <w:pPr>
        <w:ind w:right="113" w:firstLine="540"/>
        <w:jc w:val="both"/>
        <w:rPr>
          <w:bCs/>
        </w:rPr>
      </w:pPr>
      <w:r>
        <w:rPr>
          <w:bCs/>
        </w:rPr>
        <w:t xml:space="preserve">De sorte que le pourvoi serait irrecevable pour avoir été formé contre la Congrégation dissoute et aux droits de laquelle vient la Congrégation des sœurs de Saint-Joseph de Cluny. </w:t>
      </w:r>
    </w:p>
    <w:p w:rsidR="00202322" w:rsidRDefault="00202322" w:rsidP="00F12CDF">
      <w:pPr>
        <w:ind w:right="113" w:firstLine="540"/>
        <w:jc w:val="both"/>
        <w:rPr>
          <w:bCs/>
        </w:rPr>
      </w:pPr>
    </w:p>
    <w:p w:rsidR="00202322" w:rsidRDefault="00202322" w:rsidP="0081171B">
      <w:pPr>
        <w:ind w:right="113" w:firstLine="540"/>
        <w:jc w:val="both"/>
        <w:rPr>
          <w:bCs/>
        </w:rPr>
      </w:pPr>
      <w:r>
        <w:rPr>
          <w:bCs/>
        </w:rPr>
        <w:t>L’irrecevabilité ainsi soulevée ne peut être retenue.</w:t>
      </w:r>
    </w:p>
    <w:p w:rsidR="00202322" w:rsidRDefault="00202322" w:rsidP="00202322">
      <w:pPr>
        <w:ind w:right="113" w:firstLine="540"/>
        <w:jc w:val="both"/>
      </w:pPr>
      <w:r w:rsidRPr="00845B6A">
        <w:rPr>
          <w:bCs/>
          <w:u w:val="single"/>
        </w:rPr>
        <w:lastRenderedPageBreak/>
        <w:t>En premier lieu</w:t>
      </w:r>
      <w:r>
        <w:rPr>
          <w:bCs/>
        </w:rPr>
        <w:t xml:space="preserve">, il est remarquable que </w:t>
      </w:r>
      <w:r w:rsidR="000E328A">
        <w:rPr>
          <w:bCs/>
        </w:rPr>
        <w:t xml:space="preserve">la congrégation est la première à ne pas avoir considéré </w:t>
      </w:r>
      <w:r>
        <w:rPr>
          <w:bCs/>
        </w:rPr>
        <w:t xml:space="preserve">le décret du 15 novembre 2012 puisqu’elle n’en a aucunement fait état ni devant la cour d’appel ayant rendu le premier arrêt du 5 juillet 2013 ni devant la Cour de cassation ayant eu à traiter du pourvoi n° </w:t>
      </w:r>
      <w:r w:rsidRPr="00202322">
        <w:t>T 13-24.011</w:t>
      </w:r>
      <w:r w:rsidR="000E328A">
        <w:t xml:space="preserve"> formé contre cet arrêt.</w:t>
      </w:r>
    </w:p>
    <w:p w:rsidR="000E328A" w:rsidRDefault="000E328A" w:rsidP="00202322">
      <w:pPr>
        <w:ind w:right="113" w:firstLine="540"/>
        <w:jc w:val="both"/>
      </w:pPr>
    </w:p>
    <w:p w:rsidR="000E328A" w:rsidRDefault="000E328A" w:rsidP="00202322">
      <w:pPr>
        <w:ind w:right="113" w:firstLine="540"/>
        <w:jc w:val="both"/>
      </w:pPr>
      <w:r>
        <w:t>Pourtant, elle admet en avoir eu communication au cours de la première instance d’appel, soit avant le prononcé du premier arrêt du 5 juillet 2013.</w:t>
      </w:r>
    </w:p>
    <w:p w:rsidR="00334E09" w:rsidRDefault="00334E09" w:rsidP="00202322">
      <w:pPr>
        <w:ind w:right="113" w:firstLine="540"/>
        <w:jc w:val="both"/>
      </w:pPr>
    </w:p>
    <w:p w:rsidR="00334E09" w:rsidRDefault="00334E09" w:rsidP="00202322">
      <w:pPr>
        <w:ind w:right="113" w:firstLine="540"/>
        <w:jc w:val="both"/>
      </w:pPr>
      <w:r>
        <w:t xml:space="preserve">A suivre son raisonnement, le premier pourvoi formé aurait </w:t>
      </w:r>
      <w:r w:rsidR="00845B6A">
        <w:t xml:space="preserve">donc lui-même été </w:t>
      </w:r>
      <w:r w:rsidR="0081171B">
        <w:t>irrecevable.</w:t>
      </w:r>
    </w:p>
    <w:p w:rsidR="0081171B" w:rsidRDefault="0081171B" w:rsidP="00202322">
      <w:pPr>
        <w:ind w:right="113" w:firstLine="540"/>
        <w:jc w:val="both"/>
      </w:pPr>
    </w:p>
    <w:p w:rsidR="0081171B" w:rsidRDefault="0081171B" w:rsidP="00202322">
      <w:pPr>
        <w:ind w:right="113" w:firstLine="540"/>
        <w:jc w:val="both"/>
      </w:pPr>
      <w:r>
        <w:t>Le fait est qu’il l’a valablement atteinte.</w:t>
      </w:r>
    </w:p>
    <w:p w:rsidR="000E328A" w:rsidRDefault="000E328A" w:rsidP="00202322">
      <w:pPr>
        <w:ind w:right="113" w:firstLine="540"/>
        <w:jc w:val="both"/>
      </w:pPr>
    </w:p>
    <w:p w:rsidR="00845B6A" w:rsidRDefault="000E328A" w:rsidP="00202322">
      <w:pPr>
        <w:ind w:right="113" w:firstLine="540"/>
        <w:jc w:val="both"/>
      </w:pPr>
      <w:r w:rsidRPr="00845B6A">
        <w:rPr>
          <w:u w:val="single"/>
        </w:rPr>
        <w:t>En deuxième lieu</w:t>
      </w:r>
      <w:r>
        <w:t>, l’arrêt attaqué vise, en tant que partie, la « </w:t>
      </w:r>
      <w:r w:rsidRPr="000E328A">
        <w:rPr>
          <w:i/>
        </w:rPr>
        <w:t>Congrégation des sœurs du Sacré Cœur d’Ernemont</w:t>
      </w:r>
      <w:r>
        <w:t> ».</w:t>
      </w:r>
    </w:p>
    <w:p w:rsidR="00845B6A" w:rsidRDefault="00845B6A" w:rsidP="00202322">
      <w:pPr>
        <w:ind w:right="113" w:firstLine="540"/>
        <w:jc w:val="both"/>
      </w:pPr>
    </w:p>
    <w:p w:rsidR="000E328A" w:rsidRDefault="00334E09" w:rsidP="00202322">
      <w:pPr>
        <w:ind w:right="113" w:firstLine="540"/>
        <w:jc w:val="both"/>
      </w:pPr>
      <w:r>
        <w:t xml:space="preserve">Il ne mentionne aucunement la Congrégation des sœurs </w:t>
      </w:r>
      <w:r w:rsidR="009F24A5">
        <w:t xml:space="preserve">de Saint-Joseph de Cluny venant à ses droits. </w:t>
      </w:r>
    </w:p>
    <w:p w:rsidR="000E328A" w:rsidRDefault="000E328A" w:rsidP="00202322">
      <w:pPr>
        <w:ind w:right="113" w:firstLine="540"/>
        <w:jc w:val="both"/>
      </w:pPr>
    </w:p>
    <w:p w:rsidR="000E328A" w:rsidRDefault="000E328A" w:rsidP="00202322">
      <w:pPr>
        <w:ind w:right="113" w:firstLine="540"/>
        <w:jc w:val="both"/>
      </w:pPr>
      <w:r>
        <w:t xml:space="preserve">De sorte que le pourvoi présentement formé </w:t>
      </w:r>
      <w:r w:rsidR="009F24A5">
        <w:t xml:space="preserve">contre cet arrêt </w:t>
      </w:r>
      <w:r>
        <w:t>ne pouvait qu’identifier ainsi cette partie</w:t>
      </w:r>
      <w:r w:rsidR="00334E09">
        <w:t xml:space="preserve"> défenderesse</w:t>
      </w:r>
      <w:r w:rsidR="00812CC7">
        <w:t xml:space="preserve"> sauf à être précisément irrecevable. </w:t>
      </w:r>
    </w:p>
    <w:p w:rsidR="000E328A" w:rsidRDefault="000E328A" w:rsidP="00202322">
      <w:pPr>
        <w:ind w:right="113" w:firstLine="540"/>
        <w:jc w:val="both"/>
      </w:pPr>
    </w:p>
    <w:p w:rsidR="000E328A" w:rsidRDefault="000E328A" w:rsidP="00202322">
      <w:pPr>
        <w:ind w:right="113" w:firstLine="540"/>
        <w:jc w:val="both"/>
      </w:pPr>
      <w:r w:rsidRPr="00B823C6">
        <w:rPr>
          <w:u w:val="single"/>
        </w:rPr>
        <w:t>Enfin</w:t>
      </w:r>
      <w:r>
        <w:t xml:space="preserve">, </w:t>
      </w:r>
      <w:r w:rsidR="00334E09">
        <w:t xml:space="preserve">et ceci résulte de cela, </w:t>
      </w:r>
      <w:r>
        <w:t>il est tout aussi remarquable que c’</w:t>
      </w:r>
      <w:r w:rsidR="009F24A5">
        <w:t>est</w:t>
      </w:r>
      <w:r w:rsidRPr="009F24A5">
        <w:t> la Congrégation des sœurs du Sacré Cœur d’Ernemont</w:t>
      </w:r>
      <w:r w:rsidR="00334E09">
        <w:t>, et elle seule,</w:t>
      </w:r>
      <w:r>
        <w:t xml:space="preserve"> </w:t>
      </w:r>
      <w:r w:rsidR="009F24A5">
        <w:t xml:space="preserve">sans autre précision, </w:t>
      </w:r>
      <w:r>
        <w:t>qui</w:t>
      </w:r>
      <w:r w:rsidR="00334E09">
        <w:t xml:space="preserve"> </w:t>
      </w:r>
      <w:r>
        <w:t>a déclaré se constituer en défense sur le pourvoi.</w:t>
      </w:r>
    </w:p>
    <w:p w:rsidR="000E328A" w:rsidRDefault="000E328A" w:rsidP="00202322">
      <w:pPr>
        <w:ind w:right="113" w:firstLine="540"/>
        <w:jc w:val="both"/>
      </w:pPr>
    </w:p>
    <w:p w:rsidR="000E328A" w:rsidRDefault="000E328A" w:rsidP="00202322">
      <w:pPr>
        <w:ind w:right="113" w:firstLine="540"/>
        <w:jc w:val="both"/>
      </w:pPr>
      <w:r>
        <w:t xml:space="preserve">Il apparaît </w:t>
      </w:r>
      <w:r w:rsidR="009F24A5">
        <w:t xml:space="preserve">donc </w:t>
      </w:r>
      <w:r>
        <w:t xml:space="preserve">que l’erreur de dénomination exacte de la congrégation ne procède que du seul manque de diligence de celle-ci, laquelle a laissé se poursuivre la première procédure d’appel, la première procédure en cassation, ainsi </w:t>
      </w:r>
      <w:r w:rsidR="00334E09">
        <w:t xml:space="preserve">même </w:t>
      </w:r>
      <w:r>
        <w:t>que la seconde procédure en cassation en omettant d’indiquer qu’elle venait aux droits de la Congrégation des sœurs du Sacré Cœur d’Ernemont.</w:t>
      </w:r>
    </w:p>
    <w:p w:rsidR="000E328A" w:rsidRDefault="000E328A" w:rsidP="00202322">
      <w:pPr>
        <w:ind w:right="113" w:firstLine="540"/>
        <w:jc w:val="both"/>
      </w:pPr>
    </w:p>
    <w:p w:rsidR="009F24A5" w:rsidRDefault="000E328A" w:rsidP="00202322">
      <w:pPr>
        <w:ind w:right="113" w:firstLine="540"/>
        <w:jc w:val="both"/>
      </w:pPr>
      <w:r>
        <w:t>C’est ainsi que l’arrêt attaqué vise, en tant que partie, cette seule Congrégation</w:t>
      </w:r>
      <w:r w:rsidR="009F24A5">
        <w:t>, sans mention d’une reprise de ses droits par une nouvelle personne morale.</w:t>
      </w:r>
    </w:p>
    <w:p w:rsidR="009F24A5" w:rsidRDefault="009F24A5" w:rsidP="00202322">
      <w:pPr>
        <w:ind w:right="113" w:firstLine="540"/>
        <w:jc w:val="both"/>
      </w:pPr>
    </w:p>
    <w:p w:rsidR="000E328A" w:rsidRDefault="009F24A5" w:rsidP="00202322">
      <w:pPr>
        <w:ind w:right="113" w:firstLine="540"/>
        <w:jc w:val="both"/>
      </w:pPr>
      <w:r>
        <w:t>L</w:t>
      </w:r>
      <w:r w:rsidR="000E328A">
        <w:t xml:space="preserve">’exposante n’avait </w:t>
      </w:r>
      <w:r>
        <w:t xml:space="preserve">dès lors </w:t>
      </w:r>
      <w:r w:rsidR="000E328A">
        <w:t xml:space="preserve">d’autre choix que de la désigner de cette </w:t>
      </w:r>
      <w:r w:rsidR="005F4B21">
        <w:t xml:space="preserve">même </w:t>
      </w:r>
      <w:r w:rsidR="000E328A">
        <w:t xml:space="preserve">manière dans son pourvoi. </w:t>
      </w:r>
    </w:p>
    <w:p w:rsidR="000E328A" w:rsidRDefault="000E328A" w:rsidP="00202322">
      <w:pPr>
        <w:ind w:right="113" w:firstLine="540"/>
        <w:jc w:val="both"/>
      </w:pPr>
    </w:p>
    <w:p w:rsidR="000E328A" w:rsidRDefault="00334E09" w:rsidP="00202322">
      <w:pPr>
        <w:ind w:right="113" w:firstLine="540"/>
        <w:jc w:val="both"/>
      </w:pPr>
      <w:r>
        <w:t>Ceci étant, l</w:t>
      </w:r>
      <w:r w:rsidR="000E328A">
        <w:t xml:space="preserve">e fait est que </w:t>
      </w:r>
      <w:r w:rsidR="000E328A" w:rsidRPr="005940F1">
        <w:rPr>
          <w:b/>
          <w:u w:val="single"/>
        </w:rPr>
        <w:t>la personne morale défenderesse au pourvoi n’a jamais cessé d’exister</w:t>
      </w:r>
      <w:r w:rsidR="000E328A">
        <w:t xml:space="preserve"> en ce que, précisément, la Congrégation des Sœurs de Saint Joseph de Cluny est venue aux droits de la Congrégation des sœurs du Sacré Cœur d’Er</w:t>
      </w:r>
      <w:r>
        <w:t xml:space="preserve">nemont depuis plusieurs années. </w:t>
      </w:r>
    </w:p>
    <w:p w:rsidR="00334E09" w:rsidRDefault="00334E09" w:rsidP="00202322">
      <w:pPr>
        <w:ind w:right="113" w:firstLine="540"/>
        <w:jc w:val="both"/>
      </w:pPr>
    </w:p>
    <w:p w:rsidR="00334E09" w:rsidRDefault="00334E09" w:rsidP="00202322">
      <w:pPr>
        <w:ind w:right="113" w:firstLine="540"/>
        <w:jc w:val="both"/>
      </w:pPr>
      <w:r>
        <w:t>La congrégation l’admet d’ailleurs elle-même puisqu’elle expose que « </w:t>
      </w:r>
      <w:r w:rsidRPr="00334E09">
        <w:rPr>
          <w:i/>
        </w:rPr>
        <w:t xml:space="preserve">c’est </w:t>
      </w:r>
      <w:r w:rsidRPr="005940F1">
        <w:rPr>
          <w:i/>
          <w:u w:val="single"/>
        </w:rPr>
        <w:t>au nom de sa personne morale</w:t>
      </w:r>
      <w:r w:rsidRPr="00334E09">
        <w:rPr>
          <w:i/>
        </w:rPr>
        <w:t xml:space="preserve"> que la procédure a été suivie devant la juridiction de renvoi</w:t>
      </w:r>
      <w:r>
        <w:t xml:space="preserve"> » (mémoire en défense, p. 5, dernier §). </w:t>
      </w:r>
    </w:p>
    <w:p w:rsidR="00845B6A" w:rsidRDefault="00845B6A" w:rsidP="00202322">
      <w:pPr>
        <w:ind w:right="113" w:firstLine="540"/>
        <w:jc w:val="both"/>
      </w:pPr>
    </w:p>
    <w:p w:rsidR="00845B6A" w:rsidRDefault="00845B6A" w:rsidP="00202322">
      <w:pPr>
        <w:ind w:right="113" w:firstLine="540"/>
        <w:jc w:val="both"/>
      </w:pPr>
      <w:r>
        <w:t>Il ne s’est tout au plus agi que d’une simple erreur de dénomination ne p</w:t>
      </w:r>
      <w:r w:rsidR="005940F1">
        <w:t>rêtant nullement à conséquence.</w:t>
      </w:r>
    </w:p>
    <w:p w:rsidR="007C2F98" w:rsidRDefault="007C2F98" w:rsidP="00202322">
      <w:pPr>
        <w:ind w:right="113" w:firstLine="540"/>
        <w:jc w:val="both"/>
      </w:pPr>
    </w:p>
    <w:p w:rsidR="007C2F98" w:rsidRDefault="007C2F98" w:rsidP="00202322">
      <w:pPr>
        <w:ind w:right="113" w:firstLine="540"/>
        <w:jc w:val="both"/>
      </w:pPr>
      <w:r>
        <w:lastRenderedPageBreak/>
        <w:t xml:space="preserve">Or, il est constant que le pourvoi est recevable dès lors que le défendeur est suffisamment désigné (J. et L. BORE, </w:t>
      </w:r>
      <w:r>
        <w:rPr>
          <w:i/>
        </w:rPr>
        <w:t>La technique de cassation en matière civile</w:t>
      </w:r>
      <w:r>
        <w:t>, Dalloz action 2015/2016, n° 45.33, p. 205).</w:t>
      </w:r>
    </w:p>
    <w:p w:rsidR="007C2F98" w:rsidRDefault="007C2F98" w:rsidP="00202322">
      <w:pPr>
        <w:ind w:right="113" w:firstLine="540"/>
        <w:jc w:val="both"/>
      </w:pPr>
    </w:p>
    <w:p w:rsidR="006B6C18" w:rsidRDefault="005F4B21" w:rsidP="00202322">
      <w:pPr>
        <w:ind w:right="113" w:firstLine="540"/>
        <w:jc w:val="both"/>
      </w:pPr>
      <w:r>
        <w:t>L</w:t>
      </w:r>
      <w:r w:rsidR="007C2F98">
        <w:t>’article 975 d</w:t>
      </w:r>
      <w:r>
        <w:t xml:space="preserve">u code de procédure civile </w:t>
      </w:r>
      <w:r w:rsidR="007C2F98">
        <w:t xml:space="preserve">exige que la déclaration de pourvoi contienne, s’il s’agit d’une personne morale, sa dénomination et son siège social, </w:t>
      </w:r>
      <w:r>
        <w:t xml:space="preserve">tandis que </w:t>
      </w:r>
      <w:r w:rsidR="007C2F98">
        <w:t>l’article 985 du m</w:t>
      </w:r>
      <w:r>
        <w:t>ême code</w:t>
      </w:r>
      <w:r w:rsidR="007C2F98">
        <w:t>, en matière de procédure sans représentation obligatoire, exige que la déclaration de pourvoi indique « </w:t>
      </w:r>
      <w:r w:rsidR="007C2F98" w:rsidRPr="005F4B21">
        <w:rPr>
          <w:i/>
        </w:rPr>
        <w:t>les noms et adresse du ou des défendeurs au pourvoi </w:t>
      </w:r>
      <w:r w:rsidR="007C2F98">
        <w:t>»</w:t>
      </w:r>
      <w:r w:rsidR="006B6C18">
        <w:t>.</w:t>
      </w:r>
    </w:p>
    <w:p w:rsidR="006B6C18" w:rsidRDefault="006B6C18" w:rsidP="00202322">
      <w:pPr>
        <w:ind w:right="113" w:firstLine="540"/>
        <w:jc w:val="both"/>
      </w:pPr>
    </w:p>
    <w:p w:rsidR="007C2F98" w:rsidRDefault="006B6C18" w:rsidP="00202322">
      <w:pPr>
        <w:ind w:right="113" w:firstLine="540"/>
        <w:jc w:val="both"/>
      </w:pPr>
      <w:r>
        <w:t>L</w:t>
      </w:r>
      <w:r w:rsidR="007C2F98">
        <w:t xml:space="preserve">a Cour de cassation décide qu’une erreur dans l’identification du défendeur constitue un simple vice de forme qui ne cause aucun grief si le mémoire ampliatif lui est correctement signifié dans le délai légal (Com., 14 déc. 1993, pourvoi n° 91-10.412, inédit) ou si le défendeur a déposé un mémoire en défense (Soc., 7 juill. 1983, pourvoi n° 83-60.902, Bull. V, n° 434). </w:t>
      </w:r>
    </w:p>
    <w:p w:rsidR="007C2F98" w:rsidRDefault="007C2F98" w:rsidP="00202322">
      <w:pPr>
        <w:ind w:right="113" w:firstLine="540"/>
        <w:jc w:val="both"/>
      </w:pPr>
    </w:p>
    <w:p w:rsidR="007C2F98" w:rsidRDefault="007C2F98" w:rsidP="00202322">
      <w:pPr>
        <w:ind w:right="113" w:firstLine="540"/>
        <w:jc w:val="both"/>
      </w:pPr>
      <w:r>
        <w:t xml:space="preserve">La Cour régulatrice </w:t>
      </w:r>
      <w:r w:rsidR="006B6C18">
        <w:t>décide également</w:t>
      </w:r>
      <w:r>
        <w:t xml:space="preserve"> que l’erreur dans la désignation du défendeur dans la déclaration de pourvoi n’est pas de nature à entraîner l’irrecevabilité de ce recours dès lors que la qualité en laquelle cette partie a été attraite à l’instance en cassation résulte sans équivoque des décisions des juges du fond et de l’objet du litige (Civ. 1, 11 juill. 2006, pourvoi n° 05-10.945, Bull. I, n° 370 ; déjà : Civ. 1, 21 janv. 1981, Bull. I, n° 24). </w:t>
      </w:r>
    </w:p>
    <w:p w:rsidR="005940F1" w:rsidRDefault="005940F1" w:rsidP="00202322">
      <w:pPr>
        <w:ind w:right="113" w:firstLine="540"/>
        <w:jc w:val="both"/>
      </w:pPr>
    </w:p>
    <w:p w:rsidR="005940F1" w:rsidRDefault="005940F1" w:rsidP="00202322">
      <w:pPr>
        <w:ind w:right="113" w:firstLine="540"/>
        <w:jc w:val="both"/>
      </w:pPr>
      <w:r>
        <w:t>Il ne faut pas perdre de vue à ce titre qu’un acte de procédure pour vice de forme ne peut être déclaré nul qu’à charge pour celui qui invoque l’irrégularité de prouver le grief qu’elle lui cause (article 114 du code de procédure civile).</w:t>
      </w:r>
    </w:p>
    <w:p w:rsidR="005940F1" w:rsidRDefault="005940F1" w:rsidP="00202322">
      <w:pPr>
        <w:ind w:right="113" w:firstLine="540"/>
        <w:jc w:val="both"/>
      </w:pPr>
    </w:p>
    <w:p w:rsidR="005940F1" w:rsidRDefault="005940F1" w:rsidP="00202322">
      <w:pPr>
        <w:ind w:right="113" w:firstLine="540"/>
        <w:jc w:val="both"/>
      </w:pPr>
      <w:r>
        <w:t>La Congrégation des sœurs de Saint-Joseph de Cluny a bien évidemment été touchée par le pourvoi puisqu’elle a :</w:t>
      </w:r>
    </w:p>
    <w:p w:rsidR="005940F1" w:rsidRDefault="005940F1" w:rsidP="00202322">
      <w:pPr>
        <w:ind w:right="113" w:firstLine="540"/>
        <w:jc w:val="both"/>
      </w:pPr>
    </w:p>
    <w:p w:rsidR="005940F1" w:rsidRDefault="005940F1" w:rsidP="005940F1">
      <w:pPr>
        <w:numPr>
          <w:ilvl w:val="0"/>
          <w:numId w:val="2"/>
        </w:numPr>
        <w:ind w:right="113"/>
        <w:jc w:val="both"/>
      </w:pPr>
      <w:r>
        <w:t xml:space="preserve">déclaré se constituer en défense, ne </w:t>
      </w:r>
      <w:r w:rsidR="006B6C18">
        <w:t xml:space="preserve">prenant pas même soin de </w:t>
      </w:r>
      <w:r>
        <w:t>mentionner</w:t>
      </w:r>
      <w:r w:rsidR="006B6C18">
        <w:t xml:space="preserve"> </w:t>
      </w:r>
      <w:r>
        <w:t>qu’elle venait aux droits de la congrégation du Sacré Cœur d’Ernemont,</w:t>
      </w:r>
    </w:p>
    <w:p w:rsidR="005940F1" w:rsidRDefault="005940F1" w:rsidP="005940F1">
      <w:pPr>
        <w:numPr>
          <w:ilvl w:val="0"/>
          <w:numId w:val="2"/>
        </w:numPr>
        <w:ind w:right="113"/>
        <w:jc w:val="both"/>
      </w:pPr>
      <w:r>
        <w:t>puis déposé un mémoire en défense.</w:t>
      </w:r>
    </w:p>
    <w:p w:rsidR="00812CC7" w:rsidRDefault="00812CC7" w:rsidP="00202322">
      <w:pPr>
        <w:ind w:right="113" w:firstLine="540"/>
        <w:jc w:val="both"/>
      </w:pPr>
    </w:p>
    <w:p w:rsidR="00812CC7" w:rsidRDefault="005940F1" w:rsidP="00202322">
      <w:pPr>
        <w:ind w:right="113" w:firstLine="540"/>
        <w:jc w:val="both"/>
      </w:pPr>
      <w:r>
        <w:t>Dans ces conditions, l</w:t>
      </w:r>
      <w:r w:rsidR="00812CC7">
        <w:t xml:space="preserve">’irrecevabilité ainsi soulevée ne peut être retenue. </w:t>
      </w:r>
    </w:p>
    <w:p w:rsidR="008112FE" w:rsidRDefault="008112FE" w:rsidP="00B17BA3">
      <w:pPr>
        <w:ind w:right="113"/>
        <w:jc w:val="both"/>
      </w:pPr>
    </w:p>
    <w:p w:rsidR="00812CC7" w:rsidRDefault="00812CC7" w:rsidP="00202322">
      <w:pPr>
        <w:ind w:right="113" w:firstLine="540"/>
        <w:jc w:val="both"/>
      </w:pPr>
      <w:r>
        <w:rPr>
          <w:b/>
        </w:rPr>
        <w:t xml:space="preserve">II- </w:t>
      </w:r>
      <w:r>
        <w:t>Ceci étant, au fond, ni la Congrégation ni la CAVIMAC ne parviennent à réfuter utilement les griefs formulés.</w:t>
      </w:r>
    </w:p>
    <w:p w:rsidR="00D17E46" w:rsidRDefault="00D17E46" w:rsidP="00202322">
      <w:pPr>
        <w:ind w:right="113" w:firstLine="540"/>
        <w:jc w:val="both"/>
      </w:pPr>
    </w:p>
    <w:p w:rsidR="00D17E46" w:rsidRDefault="00D17E46" w:rsidP="00202322">
      <w:pPr>
        <w:ind w:right="113" w:firstLine="540"/>
        <w:jc w:val="both"/>
      </w:pPr>
      <w:r>
        <w:t xml:space="preserve">Mené au mépris des nombreux arrêts rendus par la Cour régulatrice, dont l’arrêt de censure rendu </w:t>
      </w:r>
      <w:r w:rsidR="00B823C6">
        <w:t xml:space="preserve">le 28 mai 2014 en faveur de Mme Pasquier, </w:t>
      </w:r>
      <w:r w:rsidR="00B823C6" w:rsidRPr="000305C3">
        <w:rPr>
          <w:b/>
          <w:u w:val="single"/>
        </w:rPr>
        <w:t>l</w:t>
      </w:r>
      <w:r w:rsidRPr="000305C3">
        <w:rPr>
          <w:b/>
          <w:u w:val="single"/>
        </w:rPr>
        <w:t>eur raisonnement est demeuré parfaitement inchangé depuis le précédent pourvoi formé dans la même affaire</w:t>
      </w:r>
      <w:r>
        <w:t>.</w:t>
      </w:r>
    </w:p>
    <w:p w:rsidR="00B823C6" w:rsidRDefault="00B823C6" w:rsidP="00202322">
      <w:pPr>
        <w:ind w:right="113" w:firstLine="540"/>
        <w:jc w:val="both"/>
      </w:pPr>
    </w:p>
    <w:p w:rsidR="00B823C6" w:rsidRDefault="00B823C6" w:rsidP="00202322">
      <w:pPr>
        <w:ind w:right="113" w:firstLine="540"/>
        <w:jc w:val="both"/>
      </w:pPr>
      <w:r>
        <w:t>Il est ainsi remarquable que, profitant de la résistance parfaitement choquante de la cour d’appel de renvoi, les défenderesses au pourvoi campent sur leurs positions erronées et croient encore et toujours qu’il est possible, sur le terrain de la protection sociale, de nier la réalité d’un engagement religieux.</w:t>
      </w:r>
    </w:p>
    <w:p w:rsidR="000E53AE" w:rsidRDefault="000E53AE" w:rsidP="00202322">
      <w:pPr>
        <w:ind w:right="113" w:firstLine="540"/>
        <w:jc w:val="both"/>
      </w:pPr>
    </w:p>
    <w:p w:rsidR="000E53AE" w:rsidRDefault="000E53AE" w:rsidP="00202322">
      <w:pPr>
        <w:ind w:right="113" w:firstLine="540"/>
        <w:jc w:val="both"/>
      </w:pPr>
      <w:r>
        <w:t xml:space="preserve">Quoiqu’en disent les défenderesses, l’exposante insiste sur le fait que, </w:t>
      </w:r>
      <w:r w:rsidRPr="000305C3">
        <w:rPr>
          <w:b/>
          <w:u w:val="single"/>
        </w:rPr>
        <w:t xml:space="preserve">comme l’avait déjà fait la cour d’appel de Rouen en son arrêt </w:t>
      </w:r>
      <w:r w:rsidR="00343626" w:rsidRPr="000305C3">
        <w:rPr>
          <w:b/>
          <w:u w:val="single"/>
        </w:rPr>
        <w:t xml:space="preserve">censuré </w:t>
      </w:r>
      <w:r w:rsidRPr="000305C3">
        <w:rPr>
          <w:b/>
          <w:u w:val="single"/>
        </w:rPr>
        <w:t>du 5 juillet 2013</w:t>
      </w:r>
      <w:r>
        <w:t xml:space="preserve">, la cour d’appel de Caen, dans l’arrêt attaqué, a tout à la fois constaté la réalité de cet engagement pour </w:t>
      </w:r>
      <w:r>
        <w:lastRenderedPageBreak/>
        <w:t xml:space="preserve">ensuite, </w:t>
      </w:r>
      <w:r w:rsidRPr="000305C3">
        <w:rPr>
          <w:b/>
          <w:u w:val="single"/>
        </w:rPr>
        <w:t xml:space="preserve">par </w:t>
      </w:r>
      <w:r w:rsidR="000305C3">
        <w:rPr>
          <w:b/>
          <w:u w:val="single"/>
        </w:rPr>
        <w:t xml:space="preserve">seule </w:t>
      </w:r>
      <w:r w:rsidRPr="000305C3">
        <w:rPr>
          <w:b/>
          <w:u w:val="single"/>
        </w:rPr>
        <w:t>crainte de ne pas considérer pleinement le dispositif législatif anti-jurisprudence</w:t>
      </w:r>
      <w:r>
        <w:t>, en nier les conséquences nécessaires en matière d’affiliation.</w:t>
      </w:r>
    </w:p>
    <w:p w:rsidR="000305C3" w:rsidRDefault="000305C3" w:rsidP="00202322">
      <w:pPr>
        <w:ind w:right="113" w:firstLine="540"/>
        <w:jc w:val="both"/>
      </w:pPr>
    </w:p>
    <w:p w:rsidR="00DF0E2E" w:rsidRDefault="002A1596" w:rsidP="00202322">
      <w:pPr>
        <w:ind w:right="113" w:firstLine="540"/>
        <w:jc w:val="both"/>
      </w:pPr>
      <w:r>
        <w:t>Tel</w:t>
      </w:r>
      <w:r w:rsidR="00DF0E2E">
        <w:t xml:space="preserve"> est précisément l</w:t>
      </w:r>
      <w:r>
        <w:t>e mode de raisonnement dont la Cour de cassation ne veut pas.</w:t>
      </w:r>
    </w:p>
    <w:p w:rsidR="002A1596" w:rsidRDefault="002A1596" w:rsidP="00202322">
      <w:pPr>
        <w:ind w:right="113" w:firstLine="540"/>
        <w:jc w:val="both"/>
      </w:pPr>
    </w:p>
    <w:p w:rsidR="00DF0E2E" w:rsidRDefault="002A1596" w:rsidP="00202322">
      <w:pPr>
        <w:ind w:right="113" w:firstLine="540"/>
        <w:jc w:val="both"/>
      </w:pPr>
      <w:r>
        <w:t xml:space="preserve">Ni </w:t>
      </w:r>
      <w:r w:rsidR="0081171B">
        <w:t>l</w:t>
      </w:r>
      <w:r w:rsidR="00DF0E2E">
        <w:t xml:space="preserve">a Congrégation </w:t>
      </w:r>
      <w:r>
        <w:t xml:space="preserve">ni la CAVIMAC </w:t>
      </w:r>
      <w:r w:rsidR="00DF0E2E">
        <w:t>ne peu</w:t>
      </w:r>
      <w:r>
        <w:t>ven</w:t>
      </w:r>
      <w:r w:rsidR="00DF0E2E">
        <w:t>t prétendre que l’exposante prête à la cour d’appel une intention qu’elle n’a jamais eu, celle d’exclure l’engagement religieux de l’exposante par cela seul qu’elle avait suivi une formation en vue de devenir professe.</w:t>
      </w:r>
    </w:p>
    <w:p w:rsidR="00DF0E2E" w:rsidRDefault="00DF0E2E" w:rsidP="00202322">
      <w:pPr>
        <w:ind w:right="113" w:firstLine="540"/>
        <w:jc w:val="both"/>
      </w:pPr>
    </w:p>
    <w:p w:rsidR="00DF0E2E" w:rsidRDefault="00DF0E2E" w:rsidP="00202322">
      <w:pPr>
        <w:ind w:right="113" w:firstLine="540"/>
        <w:jc w:val="both"/>
      </w:pPr>
      <w:r>
        <w:t>Cette intention est manifeste.</w:t>
      </w:r>
    </w:p>
    <w:p w:rsidR="002A1596" w:rsidRDefault="002A1596" w:rsidP="00202322">
      <w:pPr>
        <w:ind w:right="113" w:firstLine="540"/>
        <w:jc w:val="both"/>
      </w:pPr>
    </w:p>
    <w:p w:rsidR="0081171B" w:rsidRDefault="002A1596" w:rsidP="0081171B">
      <w:pPr>
        <w:ind w:right="113" w:firstLine="540"/>
        <w:jc w:val="both"/>
      </w:pPr>
      <w:r>
        <w:t>Il suffit de lire les motifs attaqués.</w:t>
      </w:r>
    </w:p>
    <w:p w:rsidR="0081171B" w:rsidRDefault="0081171B" w:rsidP="0081171B">
      <w:pPr>
        <w:ind w:right="113" w:firstLine="540"/>
        <w:jc w:val="both"/>
      </w:pPr>
    </w:p>
    <w:p w:rsidR="00172DA1" w:rsidRPr="00172DA1" w:rsidRDefault="00172DA1" w:rsidP="0081171B">
      <w:pPr>
        <w:ind w:right="113" w:firstLine="540"/>
        <w:jc w:val="both"/>
      </w:pPr>
      <w:r w:rsidRPr="00172DA1">
        <w:t xml:space="preserve">Il a déjà été dit qu’il est crucial de ne pas déduire l’absence d’engagement au service de la religion du seul fait que le postulat et le noviciat, </w:t>
      </w:r>
      <w:r w:rsidRPr="00172DA1">
        <w:rPr>
          <w:b/>
        </w:rPr>
        <w:t>par définition et par hypothèse</w:t>
      </w:r>
      <w:r w:rsidRPr="00172DA1">
        <w:t>, sont essentiellement un temps de formation.</w:t>
      </w:r>
    </w:p>
    <w:p w:rsidR="00172DA1" w:rsidRDefault="0081171B" w:rsidP="00172DA1">
      <w:pPr>
        <w:pStyle w:val="NormalWeb"/>
        <w:ind w:firstLine="557"/>
        <w:jc w:val="both"/>
        <w:rPr>
          <w:b/>
        </w:rPr>
      </w:pPr>
      <w:r>
        <w:rPr>
          <w:b/>
        </w:rPr>
        <w:t>Car l</w:t>
      </w:r>
      <w:r w:rsidR="00172DA1">
        <w:rPr>
          <w:b/>
        </w:rPr>
        <w:t>es périodes de formation ne sont pas exclusives de la qualité définie à l’article L. 382-15 du code de la sécurité sociale.</w:t>
      </w:r>
    </w:p>
    <w:p w:rsidR="00172DA1" w:rsidRDefault="00172DA1" w:rsidP="00172DA1">
      <w:pPr>
        <w:pStyle w:val="NormalWeb"/>
        <w:ind w:firstLine="557"/>
        <w:jc w:val="both"/>
      </w:pPr>
      <w:r w:rsidRPr="00135796">
        <w:t>Tel qu’il est rédigé, cet article ne fait qu’envisager une faculté de r</w:t>
      </w:r>
      <w:r>
        <w:t xml:space="preserve">achat des périodes de formation </w:t>
      </w:r>
      <w:r w:rsidRPr="00172DA1">
        <w:rPr>
          <w:u w:val="single"/>
        </w:rPr>
        <w:t>précédant l’obtention du statut de ministre des cultes ou de membre de congrégation ou collectivité religieuse</w:t>
      </w:r>
      <w:r>
        <w:t>.</w:t>
      </w:r>
    </w:p>
    <w:p w:rsidR="00172DA1" w:rsidRPr="00135796" w:rsidRDefault="00172DA1" w:rsidP="00172DA1">
      <w:pPr>
        <w:pStyle w:val="NormalWeb"/>
        <w:ind w:firstLine="557"/>
        <w:jc w:val="both"/>
      </w:pPr>
      <w:r>
        <w:t>L</w:t>
      </w:r>
      <w:r w:rsidRPr="00135796">
        <w:t>’article L. 382-29-1 du Code de la sécurité sociale</w:t>
      </w:r>
      <w:r w:rsidRPr="00135796">
        <w:rPr>
          <w:bCs/>
        </w:rPr>
        <w:t xml:space="preserve"> dispose seulement que peuvent faire l’objet d’un rachat l</w:t>
      </w:r>
      <w:r w:rsidRPr="00135796">
        <w:t xml:space="preserve">es périodes de formation accomplies au sein de congrégations ou de collectivités religieuses ou dans des établissements de formation des ministres du culte </w:t>
      </w:r>
      <w:r w:rsidRPr="00135796">
        <w:rPr>
          <w:u w:val="single"/>
        </w:rPr>
        <w:t>qui précèdent l'</w:t>
      </w:r>
      <w:r w:rsidRPr="00135796">
        <w:rPr>
          <w:b/>
          <w:u w:val="single"/>
        </w:rPr>
        <w:t>obtention du statut défini à l’article L. 382-15 du même code entraînant affiliation au régime des cultes</w:t>
      </w:r>
      <w:r w:rsidRPr="00135796">
        <w:t>.</w:t>
      </w:r>
    </w:p>
    <w:p w:rsidR="00172DA1" w:rsidRPr="00135796" w:rsidRDefault="00172DA1" w:rsidP="00172DA1">
      <w:pPr>
        <w:pStyle w:val="NormalWeb"/>
        <w:ind w:firstLine="557"/>
        <w:jc w:val="both"/>
      </w:pPr>
      <w:r w:rsidRPr="009A5CE6">
        <w:rPr>
          <w:b/>
        </w:rPr>
        <w:t xml:space="preserve">Cette disposition ne rend </w:t>
      </w:r>
      <w:r>
        <w:rPr>
          <w:b/>
        </w:rPr>
        <w:t xml:space="preserve">donc certainement </w:t>
      </w:r>
      <w:r w:rsidRPr="009A5CE6">
        <w:rPr>
          <w:b/>
        </w:rPr>
        <w:t>pas exclusifs le postulat, le noviciat ou la qualité de séminariste – termes qui ne sont nullement employés par le texte - et la qualité de ministre des cultes ou membre d’une congrégation ou d’une collectivité religieuse</w:t>
      </w:r>
      <w:r w:rsidRPr="00135796">
        <w:t> et laisse donc pleinement le juge civil en charge – et en mesure – d’apprécier l’affiliation au cours de ces pério</w:t>
      </w:r>
      <w:r>
        <w:t>des précédant les premiers vœux ou l’ordination sacerdotale.</w:t>
      </w:r>
    </w:p>
    <w:p w:rsidR="0081171B" w:rsidRDefault="00172DA1" w:rsidP="0081171B">
      <w:pPr>
        <w:pStyle w:val="NormalWeb"/>
        <w:ind w:firstLine="557"/>
        <w:jc w:val="both"/>
      </w:pPr>
      <w:r>
        <w:t>Quoiqu’en dise la Congrégation, il est manifeste que la cour d’appel s’est comportée exactement comme l’avait déjà fait la première cour d’appel saisie de cette affaire et dont l’arrêt a été censuré.</w:t>
      </w:r>
    </w:p>
    <w:p w:rsidR="0081171B" w:rsidRDefault="0081171B" w:rsidP="0081171B">
      <w:pPr>
        <w:pStyle w:val="NormalWeb"/>
        <w:ind w:firstLine="557"/>
        <w:jc w:val="both"/>
      </w:pPr>
      <w:r>
        <w:t>Elle a ainsi totalement ignoré la signification de la censure prononcée le 28 mai 2014.</w:t>
      </w:r>
    </w:p>
    <w:p w:rsidR="002A1596" w:rsidRDefault="002A1596" w:rsidP="002A1596">
      <w:pPr>
        <w:pStyle w:val="NormalWeb"/>
        <w:ind w:firstLine="557"/>
        <w:jc w:val="both"/>
      </w:pPr>
      <w:r>
        <w:t xml:space="preserve">Le fait que les périodes de postulat et de noviciat constituent un temps de formation lui a semblé déterminant et l’a conduite à appliquer le système légal de rachat. </w:t>
      </w:r>
    </w:p>
    <w:p w:rsidR="002A1596" w:rsidRDefault="002A1596" w:rsidP="002A1596">
      <w:pPr>
        <w:pStyle w:val="NormalWeb"/>
        <w:ind w:firstLine="557"/>
        <w:jc w:val="both"/>
      </w:pPr>
    </w:p>
    <w:p w:rsidR="002A1596" w:rsidRDefault="002A1596" w:rsidP="002A1596">
      <w:pPr>
        <w:pStyle w:val="NormalWeb"/>
        <w:ind w:firstLine="557"/>
        <w:jc w:val="both"/>
      </w:pPr>
    </w:p>
    <w:p w:rsidR="00A64F4A" w:rsidRDefault="00172F56" w:rsidP="00172DA1">
      <w:pPr>
        <w:pStyle w:val="NormalWeb"/>
        <w:ind w:firstLine="557"/>
        <w:jc w:val="both"/>
      </w:pPr>
      <w:r>
        <w:rPr>
          <w:b/>
        </w:rPr>
        <w:lastRenderedPageBreak/>
        <w:t xml:space="preserve">III- </w:t>
      </w:r>
      <w:r w:rsidR="0081171B">
        <w:t>R</w:t>
      </w:r>
      <w:r w:rsidR="00A64F4A">
        <w:t xml:space="preserve">éfutant la deuxième branche, la Congrégation, tout en insistant sur l’appréciation souveraine du juge du fond quant à l’existence et la réalité de l’engagement religieux, entend finalement imposer à ce même juge un principe constant et propre au domaine strictement religieux, principe subordonnant l’engagement à l’émission des premiers vœux et donc à l’acquisition du statut de profès. </w:t>
      </w:r>
    </w:p>
    <w:p w:rsidR="00E849D5" w:rsidRDefault="00E849D5" w:rsidP="00172DA1">
      <w:pPr>
        <w:pStyle w:val="NormalWeb"/>
        <w:ind w:firstLine="557"/>
        <w:jc w:val="both"/>
      </w:pPr>
      <w:r>
        <w:t>La Cour de cassation ne veut précisément pas d’</w:t>
      </w:r>
      <w:r w:rsidR="00172F56">
        <w:t>un tel raisonnement de nature à entraver la liberté</w:t>
      </w:r>
      <w:r w:rsidR="0081171B">
        <w:t xml:space="preserve"> d’appréciation du juge du fond, appréciation qui doit être menée </w:t>
      </w:r>
      <w:r w:rsidR="0081171B" w:rsidRPr="0081171B">
        <w:rPr>
          <w:i/>
        </w:rPr>
        <w:t>in concreto</w:t>
      </w:r>
      <w:r w:rsidR="0081171B">
        <w:t xml:space="preserve">. </w:t>
      </w:r>
    </w:p>
    <w:p w:rsidR="00E849D5" w:rsidRDefault="00E849D5" w:rsidP="00172DA1">
      <w:pPr>
        <w:pStyle w:val="NormalWeb"/>
        <w:ind w:firstLine="557"/>
        <w:jc w:val="both"/>
      </w:pPr>
      <w:r>
        <w:t>Elle l’a amplement démontré en rendant l’ensemble des arrêts cités dans le mémoire ampliatif.</w:t>
      </w:r>
    </w:p>
    <w:p w:rsidR="00E849D5" w:rsidRDefault="00E849D5" w:rsidP="00E849D5">
      <w:pPr>
        <w:ind w:firstLine="557"/>
        <w:jc w:val="both"/>
        <w:rPr>
          <w:lang w:eastAsia="fr-FR"/>
        </w:rPr>
      </w:pPr>
      <w:r>
        <w:t xml:space="preserve">Ainsi, </w:t>
      </w:r>
      <w:r w:rsidR="0081171B">
        <w:t xml:space="preserve">tout spécialement, </w:t>
      </w:r>
      <w:r>
        <w:t xml:space="preserve">le </w:t>
      </w:r>
      <w:r w:rsidRPr="007829F1">
        <w:rPr>
          <w:b/>
        </w:rPr>
        <w:t>18 juin 2015</w:t>
      </w:r>
      <w:r>
        <w:t xml:space="preserve"> (pourvoi n° </w:t>
      </w:r>
      <w:r w:rsidRPr="00680B85">
        <w:rPr>
          <w:bCs/>
        </w:rPr>
        <w:t>14-20.766</w:t>
      </w:r>
      <w:r>
        <w:t xml:space="preserve">), la Cour de cassation a censuré une cour d’appel qui, pour débouter l'intéressée de son recours, avait retenu que ce n'est qu'à compter du prononcé de ses premiers vœux, le 6 septembre 1986, qu'elle était devenue membre de la congrégation au sens de l'article L. 382-15 et avait bénéficié du statut attaché à cette qualité entraînant son affiliation au régime des cultes, mais qu'en revanche, </w:t>
      </w:r>
      <w:r w:rsidRPr="00314EA0">
        <w:rPr>
          <w:u w:val="single"/>
        </w:rPr>
        <w:t xml:space="preserve">la période de noviciat, accomplie par l'intéressée au sein de la congrégation, préalablement à l'obtention du statut défini à l'article L. 382-15, </w:t>
      </w:r>
      <w:r w:rsidRPr="008B74A7">
        <w:rPr>
          <w:u w:val="single"/>
        </w:rPr>
        <w:t>correspondait à une période de formation, d'expérience et de préparation à la vie religieuse</w:t>
      </w:r>
      <w:r w:rsidRPr="009A16CB">
        <w:rPr>
          <w:b/>
          <w:u w:val="single"/>
        </w:rPr>
        <w:t xml:space="preserve"> différente de celle liée à l'observation des vœux</w:t>
      </w:r>
      <w:r>
        <w:t>.</w:t>
      </w:r>
    </w:p>
    <w:p w:rsidR="00E849D5" w:rsidRDefault="00E849D5" w:rsidP="00E849D5">
      <w:pPr>
        <w:pStyle w:val="NormalWeb"/>
        <w:ind w:firstLine="557"/>
        <w:jc w:val="both"/>
      </w:pPr>
      <w:r>
        <w:rPr>
          <w:b/>
        </w:rPr>
        <w:t>La censure a été prononcée car, e</w:t>
      </w:r>
      <w:r w:rsidRPr="00B838D4">
        <w:rPr>
          <w:b/>
        </w:rPr>
        <w:t>n statuant ainsi, par des motifs inopérants, alors qu'elle constatait que Mme X... participait à la vie de la congrégation et s'était soumise au règlement du noviciat, ce dont résultait la preuve d'un engagement religieux de l'intéressée manifesté, notamment, par un mode de vie en communauté et par une activité essentiellement exercée au service de sa religion qui l'investissait de la qualité de membre de cette congrégation ou collectivité religieuse, la cour d'appel a violé l’article L. 382-15 du code de la sécurité sociale</w:t>
      </w:r>
      <w:r>
        <w:t xml:space="preserve">. </w:t>
      </w:r>
    </w:p>
    <w:p w:rsidR="00E849D5" w:rsidRDefault="00E849D5" w:rsidP="00E849D5">
      <w:pPr>
        <w:ind w:firstLine="557"/>
        <w:jc w:val="both"/>
        <w:rPr>
          <w:lang w:eastAsia="fr-FR"/>
        </w:rPr>
      </w:pPr>
      <w:r>
        <w:rPr>
          <w:lang w:eastAsia="fr-FR"/>
        </w:rPr>
        <w:t xml:space="preserve">Il en résulte clairement que, contrairement à ce qu’a cru devoir retenir l’arrêt attaqué, le seul fait pour une ancienne postulante ou novice de ne pas établir qu’elle avait strictement les mêmes activités que les sœurs professes n’exclut pas en soi qu’elle se soit alors </w:t>
      </w:r>
      <w:r w:rsidR="0081171B">
        <w:rPr>
          <w:lang w:eastAsia="fr-FR"/>
        </w:rPr>
        <w:t xml:space="preserve">pleinement </w:t>
      </w:r>
      <w:r>
        <w:rPr>
          <w:lang w:eastAsia="fr-FR"/>
        </w:rPr>
        <w:t>consacrée à son engagement religieux.</w:t>
      </w:r>
    </w:p>
    <w:p w:rsidR="00E849D5" w:rsidRDefault="00E849D5" w:rsidP="00E849D5">
      <w:pPr>
        <w:ind w:firstLine="557"/>
        <w:jc w:val="both"/>
        <w:rPr>
          <w:lang w:eastAsia="fr-FR"/>
        </w:rPr>
      </w:pPr>
    </w:p>
    <w:p w:rsidR="00E849D5" w:rsidRDefault="00E849D5" w:rsidP="00E849D5">
      <w:pPr>
        <w:ind w:firstLine="557"/>
        <w:jc w:val="both"/>
        <w:rPr>
          <w:lang w:eastAsia="fr-FR"/>
        </w:rPr>
      </w:pPr>
      <w:r>
        <w:rPr>
          <w:lang w:eastAsia="fr-FR"/>
        </w:rPr>
        <w:t xml:space="preserve">Cette consécration plénière résulte notamment, </w:t>
      </w:r>
      <w:r w:rsidRPr="00E849D5">
        <w:rPr>
          <w:i/>
          <w:lang w:eastAsia="fr-FR"/>
        </w:rPr>
        <w:t>a fortiori</w:t>
      </w:r>
      <w:r>
        <w:rPr>
          <w:lang w:eastAsia="fr-FR"/>
        </w:rPr>
        <w:t xml:space="preserve"> dans un ordre contemplatif, de la vêture dès l’entrée en postulat et de la soumission à la discipline de la vie en communauté</w:t>
      </w:r>
      <w:r w:rsidR="005A2E9A">
        <w:rPr>
          <w:lang w:eastAsia="fr-FR"/>
        </w:rPr>
        <w:t xml:space="preserve"> avec tout ce que cela représente en termes d’entrave à la liberté de la personne ainsi incontestablement engagée.</w:t>
      </w:r>
    </w:p>
    <w:p w:rsidR="00E849D5" w:rsidRDefault="00E849D5" w:rsidP="00E849D5">
      <w:pPr>
        <w:ind w:firstLine="557"/>
        <w:jc w:val="both"/>
        <w:rPr>
          <w:lang w:eastAsia="fr-FR"/>
        </w:rPr>
      </w:pPr>
    </w:p>
    <w:p w:rsidR="00E849D5" w:rsidRDefault="005A2E9A" w:rsidP="00E849D5">
      <w:pPr>
        <w:ind w:firstLine="557"/>
        <w:jc w:val="both"/>
        <w:rPr>
          <w:lang w:eastAsia="fr-FR"/>
        </w:rPr>
      </w:pPr>
      <w:r>
        <w:rPr>
          <w:lang w:eastAsia="fr-FR"/>
        </w:rPr>
        <w:t xml:space="preserve">C’est donc bien sous </w:t>
      </w:r>
      <w:r w:rsidR="00E849D5">
        <w:rPr>
          <w:lang w:eastAsia="fr-FR"/>
        </w:rPr>
        <w:t xml:space="preserve">un faux prétexte – l’absence de preuve d’une similitude des activités </w:t>
      </w:r>
      <w:r>
        <w:rPr>
          <w:lang w:eastAsia="fr-FR"/>
        </w:rPr>
        <w:t xml:space="preserve">– que la cour d’appel </w:t>
      </w:r>
      <w:r w:rsidR="00E849D5">
        <w:rPr>
          <w:lang w:eastAsia="fr-FR"/>
        </w:rPr>
        <w:t xml:space="preserve">n’a pas </w:t>
      </w:r>
      <w:r>
        <w:rPr>
          <w:lang w:eastAsia="fr-FR"/>
        </w:rPr>
        <w:t xml:space="preserve">entendu </w:t>
      </w:r>
      <w:r w:rsidR="00E849D5">
        <w:rPr>
          <w:lang w:eastAsia="fr-FR"/>
        </w:rPr>
        <w:t xml:space="preserve">tirer de ses propres constatations les conséquences qui s’imposaient pourtant. </w:t>
      </w:r>
    </w:p>
    <w:p w:rsidR="000F3AB7" w:rsidRDefault="000F3AB7" w:rsidP="00E849D5">
      <w:pPr>
        <w:ind w:firstLine="557"/>
        <w:jc w:val="both"/>
        <w:rPr>
          <w:lang w:eastAsia="fr-FR"/>
        </w:rPr>
      </w:pPr>
    </w:p>
    <w:p w:rsidR="000F3AB7" w:rsidRDefault="000F3AB7" w:rsidP="00E849D5">
      <w:pPr>
        <w:ind w:firstLine="557"/>
        <w:jc w:val="both"/>
        <w:rPr>
          <w:lang w:eastAsia="fr-FR"/>
        </w:rPr>
      </w:pPr>
      <w:r>
        <w:rPr>
          <w:lang w:eastAsia="fr-FR"/>
        </w:rPr>
        <w:t>Quant à la CAVIMAC, elle ne peut soutenir qu’ « </w:t>
      </w:r>
      <w:r w:rsidRPr="000F3AB7">
        <w:rPr>
          <w:i/>
          <w:lang w:eastAsia="fr-FR"/>
        </w:rPr>
        <w:t>à suivre le raisonnement de la demanderesse au pourvoi, parce que le noviciat ou le postulat sont des périodes de formation qui comportent un volet pratique imposant qu’elles s’effectuent au sein d’une communauté religieuse, il faudrait donc toujours prendre en compte ces périodes au titre du calcul des droits à la retraite</w:t>
      </w:r>
      <w:r>
        <w:rPr>
          <w:lang w:eastAsia="fr-FR"/>
        </w:rPr>
        <w:t> » (mémoire en défense CAVIMAC, p. 12, § 4).</w:t>
      </w:r>
    </w:p>
    <w:p w:rsidR="000F3AB7" w:rsidRDefault="000F3AB7" w:rsidP="00E849D5">
      <w:pPr>
        <w:ind w:firstLine="557"/>
        <w:jc w:val="both"/>
        <w:rPr>
          <w:lang w:eastAsia="fr-FR"/>
        </w:rPr>
      </w:pPr>
    </w:p>
    <w:p w:rsidR="000F3AB7" w:rsidRDefault="000F3AB7" w:rsidP="00E849D5">
      <w:pPr>
        <w:ind w:firstLine="557"/>
        <w:jc w:val="both"/>
        <w:rPr>
          <w:lang w:eastAsia="fr-FR"/>
        </w:rPr>
      </w:pPr>
      <w:r>
        <w:rPr>
          <w:lang w:eastAsia="fr-FR"/>
        </w:rPr>
        <w:lastRenderedPageBreak/>
        <w:t>Ce propos est particulièrement</w:t>
      </w:r>
      <w:r w:rsidR="000B2CE3">
        <w:rPr>
          <w:lang w:eastAsia="fr-FR"/>
        </w:rPr>
        <w:t xml:space="preserve"> injuste et déformant</w:t>
      </w:r>
      <w:r>
        <w:rPr>
          <w:lang w:eastAsia="fr-FR"/>
        </w:rPr>
        <w:t xml:space="preserve">, l’exposante ayant très précisément exposé la méthode s’imposant au juge, méthode impliquant de constater </w:t>
      </w:r>
      <w:r w:rsidRPr="000F3AB7">
        <w:rPr>
          <w:i/>
          <w:lang w:eastAsia="fr-FR"/>
        </w:rPr>
        <w:t>in concreto</w:t>
      </w:r>
      <w:r>
        <w:rPr>
          <w:lang w:eastAsia="fr-FR"/>
        </w:rPr>
        <w:t xml:space="preserve"> un engagement religieux.</w:t>
      </w:r>
    </w:p>
    <w:p w:rsidR="000F3AB7" w:rsidRDefault="000F3AB7" w:rsidP="00E849D5">
      <w:pPr>
        <w:ind w:firstLine="557"/>
        <w:jc w:val="both"/>
        <w:rPr>
          <w:lang w:eastAsia="fr-FR"/>
        </w:rPr>
      </w:pPr>
    </w:p>
    <w:p w:rsidR="000B2CE3" w:rsidRDefault="000F3AB7" w:rsidP="000B2CE3">
      <w:pPr>
        <w:ind w:firstLine="557"/>
        <w:jc w:val="both"/>
        <w:rPr>
          <w:lang w:eastAsia="fr-FR"/>
        </w:rPr>
      </w:pPr>
      <w:r>
        <w:rPr>
          <w:lang w:eastAsia="fr-FR"/>
        </w:rPr>
        <w:t>L’exposante ne soutient certainement p</w:t>
      </w:r>
      <w:r w:rsidR="0081171B">
        <w:rPr>
          <w:lang w:eastAsia="fr-FR"/>
        </w:rPr>
        <w:t>as que postulat et noviciat impliquent</w:t>
      </w:r>
      <w:r>
        <w:rPr>
          <w:lang w:eastAsia="fr-FR"/>
        </w:rPr>
        <w:t xml:space="preserve"> </w:t>
      </w:r>
      <w:r w:rsidRPr="000B2CE3">
        <w:rPr>
          <w:i/>
          <w:lang w:eastAsia="fr-FR"/>
        </w:rPr>
        <w:t>a priori</w:t>
      </w:r>
      <w:r>
        <w:rPr>
          <w:lang w:eastAsia="fr-FR"/>
        </w:rPr>
        <w:t xml:space="preserve"> et nécessairement </w:t>
      </w:r>
      <w:r w:rsidR="0081171B">
        <w:rPr>
          <w:lang w:eastAsia="fr-FR"/>
        </w:rPr>
        <w:t>l’</w:t>
      </w:r>
      <w:r>
        <w:rPr>
          <w:lang w:eastAsia="fr-FR"/>
        </w:rPr>
        <w:t xml:space="preserve">engagement </w:t>
      </w:r>
      <w:r w:rsidR="000B2CE3">
        <w:rPr>
          <w:lang w:eastAsia="fr-FR"/>
        </w:rPr>
        <w:t>religieux</w:t>
      </w:r>
      <w:r w:rsidR="0081171B">
        <w:rPr>
          <w:lang w:eastAsia="fr-FR"/>
        </w:rPr>
        <w:t>.</w:t>
      </w:r>
    </w:p>
    <w:p w:rsidR="000B2CE3" w:rsidRDefault="000B2CE3" w:rsidP="000B2CE3">
      <w:pPr>
        <w:pStyle w:val="NormalWeb"/>
        <w:ind w:firstLine="557"/>
        <w:jc w:val="both"/>
        <w:rPr>
          <w:b/>
        </w:rPr>
      </w:pPr>
      <w:r>
        <w:t xml:space="preserve">Elle considère </w:t>
      </w:r>
      <w:r w:rsidR="0081171B">
        <w:t xml:space="preserve">seulement </w:t>
      </w:r>
      <w:r w:rsidRPr="000B2CE3">
        <w:t>qu’il faut prendre garde à ne pas déduire l’absence d’engagement au service de la religion du seul fait que le postulat et le noviciat, par définition et par hypothèse, sont essentiellement un temps de formation</w:t>
      </w:r>
      <w:r w:rsidRPr="009A5CE6">
        <w:rPr>
          <w:b/>
        </w:rPr>
        <w:t>.</w:t>
      </w:r>
    </w:p>
    <w:p w:rsidR="000B2CE3" w:rsidRPr="000B2CE3" w:rsidRDefault="000B2CE3" w:rsidP="000B2CE3">
      <w:pPr>
        <w:pStyle w:val="NormalWeb"/>
        <w:ind w:firstLine="557"/>
        <w:jc w:val="both"/>
      </w:pPr>
      <w:r>
        <w:t>Elle a ainsi insisté dans son mémoire ampliatif sur le fait qu’i</w:t>
      </w:r>
      <w:r w:rsidRPr="000B2CE3">
        <w:t xml:space="preserve">l </w:t>
      </w:r>
      <w:r>
        <w:t xml:space="preserve">convient de ne </w:t>
      </w:r>
      <w:r w:rsidRPr="000B2CE3">
        <w:t xml:space="preserve">pas exclure systématiquement ces périodes probatoires du champ de l’assujettissement. </w:t>
      </w:r>
    </w:p>
    <w:p w:rsidR="000B2CE3" w:rsidRDefault="000B2CE3" w:rsidP="000B2CE3">
      <w:pPr>
        <w:pStyle w:val="NormalWeb"/>
        <w:ind w:firstLine="557"/>
        <w:jc w:val="both"/>
      </w:pPr>
      <w:r>
        <w:t>Elle l’a fait en précisant que :</w:t>
      </w:r>
    </w:p>
    <w:p w:rsidR="000B2CE3" w:rsidRDefault="00E8249F" w:rsidP="000B2CE3">
      <w:pPr>
        <w:pStyle w:val="NormalWeb"/>
        <w:numPr>
          <w:ilvl w:val="0"/>
          <w:numId w:val="2"/>
        </w:numPr>
        <w:jc w:val="both"/>
      </w:pPr>
      <w:r>
        <w:t>L</w:t>
      </w:r>
      <w:r w:rsidR="000B2CE3" w:rsidRPr="00135796">
        <w:t>’article L. 382-29-1 du Code de la sécurité sociale</w:t>
      </w:r>
      <w:r w:rsidR="000B2CE3" w:rsidRPr="00135796">
        <w:rPr>
          <w:bCs/>
        </w:rPr>
        <w:t xml:space="preserve"> dispose seulement que peuvent faire l’objet d’un rachat l</w:t>
      </w:r>
      <w:r w:rsidR="000B2CE3" w:rsidRPr="00135796">
        <w:t xml:space="preserve">es périodes de formation accomplies au sein de congrégations ou de collectivités religieuses ou dans des établissements de formation des ministres du culte </w:t>
      </w:r>
      <w:r w:rsidR="000B2CE3" w:rsidRPr="00135796">
        <w:rPr>
          <w:u w:val="single"/>
        </w:rPr>
        <w:t>qui précèdent l'</w:t>
      </w:r>
      <w:r w:rsidR="000B2CE3" w:rsidRPr="00135796">
        <w:rPr>
          <w:b/>
          <w:u w:val="single"/>
        </w:rPr>
        <w:t>obtention du statut défini à l’article L. 382-15 du même code entraînant affiliation au régime des cultes</w:t>
      </w:r>
      <w:r w:rsidR="000B2CE3" w:rsidRPr="00135796">
        <w:t>.</w:t>
      </w:r>
    </w:p>
    <w:p w:rsidR="000B2CE3" w:rsidRDefault="00E8249F" w:rsidP="000B2CE3">
      <w:pPr>
        <w:pStyle w:val="NormalWeb"/>
        <w:numPr>
          <w:ilvl w:val="0"/>
          <w:numId w:val="2"/>
        </w:numPr>
        <w:jc w:val="both"/>
      </w:pPr>
      <w:r>
        <w:rPr>
          <w:b/>
        </w:rPr>
        <w:t>C</w:t>
      </w:r>
      <w:r w:rsidR="000B2CE3" w:rsidRPr="009A5CE6">
        <w:rPr>
          <w:b/>
        </w:rPr>
        <w:t>ette disposition ne rend pas exclusifs le postulat, le noviciat ou la qualité de séminariste – termes qui ne sont nullement employés par le texte - et la qualité de ministre des cultes ou membre d’une congrégation ou d’une collectivité religieuse</w:t>
      </w:r>
      <w:r w:rsidR="000B2CE3" w:rsidRPr="00135796">
        <w:t> et laisse donc pleinement le juge civil en charge – et en mesure – d’apprécier l’affiliation au cours de ces pério</w:t>
      </w:r>
      <w:r w:rsidR="000B2CE3">
        <w:t>des précédant les premiers vœux ou l’ordination sacerdotale.</w:t>
      </w:r>
    </w:p>
    <w:p w:rsidR="000B2CE3" w:rsidRPr="000B2CE3" w:rsidRDefault="00E8249F" w:rsidP="000B2CE3">
      <w:pPr>
        <w:pStyle w:val="NormalWeb"/>
        <w:numPr>
          <w:ilvl w:val="0"/>
          <w:numId w:val="2"/>
        </w:numPr>
        <w:jc w:val="both"/>
        <w:rPr>
          <w:b/>
          <w:u w:val="single"/>
        </w:rPr>
      </w:pPr>
      <w:r>
        <w:t>S</w:t>
      </w:r>
      <w:r w:rsidR="000B2CE3" w:rsidRPr="00135796">
        <w:t>oit cette pér</w:t>
      </w:r>
      <w:r w:rsidR="000B2CE3">
        <w:t xml:space="preserve">iode de formation précède celle </w:t>
      </w:r>
      <w:r w:rsidR="000B2CE3" w:rsidRPr="00135796">
        <w:t xml:space="preserve">du postulat puis du noviciat, </w:t>
      </w:r>
      <w:r w:rsidR="000B2CE3">
        <w:t xml:space="preserve">pour les religieux, celle de séminaire, pour les prêtres, </w:t>
      </w:r>
      <w:r w:rsidR="000B2CE3" w:rsidRPr="00135796">
        <w:t xml:space="preserve">au cours de laquelle la qualité de membre est déjà acquise selon l’appréciation menée </w:t>
      </w:r>
      <w:r w:rsidR="000B2CE3" w:rsidRPr="009A5CE6">
        <w:rPr>
          <w:i/>
        </w:rPr>
        <w:t>in concreto</w:t>
      </w:r>
      <w:r w:rsidR="000B2CE3" w:rsidRPr="00135796">
        <w:t xml:space="preserve"> par le juge, </w:t>
      </w:r>
      <w:r w:rsidR="000B2CE3" w:rsidRPr="000B2CE3">
        <w:rPr>
          <w:b/>
          <w:u w:val="single"/>
        </w:rPr>
        <w:t>soit elle y correspond dans les quelques cas – résiduels - où le juge peut considérer, à l’examen du dossier, en fonction de données particulières, que le postulant, le novice ou le séminariste ne s’est pas engagé religieusement.</w:t>
      </w:r>
    </w:p>
    <w:p w:rsidR="000B2CE3" w:rsidRPr="000B2CE3" w:rsidRDefault="00E8249F" w:rsidP="000B2CE3">
      <w:pPr>
        <w:pStyle w:val="NormalWeb"/>
        <w:numPr>
          <w:ilvl w:val="0"/>
          <w:numId w:val="2"/>
        </w:numPr>
        <w:jc w:val="both"/>
      </w:pPr>
      <w:r>
        <w:t>I</w:t>
      </w:r>
      <w:r w:rsidR="000B2CE3" w:rsidRPr="000B2CE3">
        <w:t>l faut bien prendre garde à ne pas déduire l’absence d’engagement au service de la religion du seul fait que le postulat et le noviciat, par définition et par hypothèse, sont essentiellement un temps de formation.</w:t>
      </w:r>
    </w:p>
    <w:p w:rsidR="000B2CE3" w:rsidRPr="00E8249F" w:rsidRDefault="000B2CE3" w:rsidP="00E849D5">
      <w:pPr>
        <w:ind w:firstLine="557"/>
        <w:jc w:val="both"/>
        <w:rPr>
          <w:b/>
          <w:u w:val="single"/>
          <w:lang w:eastAsia="fr-FR"/>
        </w:rPr>
      </w:pPr>
      <w:r w:rsidRPr="00E8249F">
        <w:rPr>
          <w:b/>
          <w:u w:val="single"/>
          <w:lang w:eastAsia="fr-FR"/>
        </w:rPr>
        <w:t>L’exposante est ainsi la première à admettre que les périodes de postulat et de noviciat peuvent ne pas correspondre à un engagement religieux.</w:t>
      </w:r>
    </w:p>
    <w:p w:rsidR="000B2CE3" w:rsidRDefault="000B2CE3" w:rsidP="00E849D5">
      <w:pPr>
        <w:ind w:firstLine="557"/>
        <w:jc w:val="both"/>
        <w:rPr>
          <w:lang w:eastAsia="fr-FR"/>
        </w:rPr>
      </w:pPr>
    </w:p>
    <w:p w:rsidR="000B2CE3" w:rsidRDefault="000B2CE3" w:rsidP="00E849D5">
      <w:pPr>
        <w:ind w:firstLine="557"/>
        <w:jc w:val="both"/>
        <w:rPr>
          <w:lang w:eastAsia="fr-FR"/>
        </w:rPr>
      </w:pPr>
      <w:r>
        <w:rPr>
          <w:lang w:eastAsia="fr-FR"/>
        </w:rPr>
        <w:t xml:space="preserve">Finalement, la CAVIMAC considère </w:t>
      </w:r>
      <w:r w:rsidR="00E8249F">
        <w:rPr>
          <w:lang w:eastAsia="fr-FR"/>
        </w:rPr>
        <w:t xml:space="preserve">à tort </w:t>
      </w:r>
      <w:r>
        <w:rPr>
          <w:lang w:eastAsia="fr-FR"/>
        </w:rPr>
        <w:t>qu’en critiquant un juge pour avoir déduit l’absence d’engagement de la seule réalité d’une formation avant l’émission des vœux, déduction pour le moins automatique, l’exposante en vient à l’inverse à assimiler nécessairement postulat et noviciat à l</w:t>
      </w:r>
      <w:r w:rsidR="00E8249F">
        <w:rPr>
          <w:lang w:eastAsia="fr-FR"/>
        </w:rPr>
        <w:t>’engagement religieux.</w:t>
      </w:r>
    </w:p>
    <w:p w:rsidR="00E8249F" w:rsidRDefault="00E8249F" w:rsidP="00E849D5">
      <w:pPr>
        <w:ind w:firstLine="557"/>
        <w:jc w:val="both"/>
        <w:rPr>
          <w:lang w:eastAsia="fr-FR"/>
        </w:rPr>
      </w:pPr>
    </w:p>
    <w:p w:rsidR="00E8249F" w:rsidRDefault="00E8249F" w:rsidP="00E849D5">
      <w:pPr>
        <w:ind w:firstLine="557"/>
        <w:jc w:val="both"/>
        <w:rPr>
          <w:lang w:eastAsia="fr-FR"/>
        </w:rPr>
      </w:pPr>
      <w:r>
        <w:rPr>
          <w:lang w:eastAsia="fr-FR"/>
        </w:rPr>
        <w:t>Ainsi donc, parce qu’elle critique l’analyse par trop rigide de la cour d’appel, l’exposante se voit elle-même injustement critiquée au même titre.</w:t>
      </w:r>
    </w:p>
    <w:p w:rsidR="00E8249F" w:rsidRDefault="00E8249F" w:rsidP="00E849D5">
      <w:pPr>
        <w:ind w:firstLine="557"/>
        <w:jc w:val="both"/>
        <w:rPr>
          <w:lang w:eastAsia="fr-FR"/>
        </w:rPr>
      </w:pPr>
    </w:p>
    <w:p w:rsidR="00E8249F" w:rsidRDefault="00E8249F" w:rsidP="00E849D5">
      <w:pPr>
        <w:ind w:firstLine="557"/>
        <w:jc w:val="both"/>
        <w:rPr>
          <w:lang w:eastAsia="fr-FR"/>
        </w:rPr>
      </w:pPr>
      <w:r>
        <w:rPr>
          <w:lang w:eastAsia="fr-FR"/>
        </w:rPr>
        <w:t>Cela n’est pas soutenable.</w:t>
      </w:r>
    </w:p>
    <w:p w:rsidR="00411B5A" w:rsidRDefault="00411B5A" w:rsidP="000B2CE3">
      <w:pPr>
        <w:jc w:val="both"/>
        <w:rPr>
          <w:lang w:eastAsia="fr-FR"/>
        </w:rPr>
      </w:pPr>
    </w:p>
    <w:p w:rsidR="00411B5A" w:rsidRDefault="00E8249F" w:rsidP="00E849D5">
      <w:pPr>
        <w:ind w:firstLine="557"/>
        <w:jc w:val="both"/>
        <w:rPr>
          <w:lang w:eastAsia="fr-FR"/>
        </w:rPr>
      </w:pPr>
      <w:r>
        <w:rPr>
          <w:b/>
          <w:lang w:eastAsia="fr-FR"/>
        </w:rPr>
        <w:lastRenderedPageBreak/>
        <w:t xml:space="preserve">IV- </w:t>
      </w:r>
      <w:r w:rsidR="00411B5A">
        <w:rPr>
          <w:lang w:eastAsia="fr-FR"/>
        </w:rPr>
        <w:t>Enfin, s’agissant de la 3</w:t>
      </w:r>
      <w:r w:rsidR="00411B5A" w:rsidRPr="00411B5A">
        <w:rPr>
          <w:vertAlign w:val="superscript"/>
          <w:lang w:eastAsia="fr-FR"/>
        </w:rPr>
        <w:t>ème</w:t>
      </w:r>
      <w:r w:rsidR="00411B5A">
        <w:rPr>
          <w:lang w:eastAsia="fr-FR"/>
        </w:rPr>
        <w:t xml:space="preserve"> branche, </w:t>
      </w:r>
      <w:r w:rsidR="00536657">
        <w:rPr>
          <w:lang w:eastAsia="fr-FR"/>
        </w:rPr>
        <w:t xml:space="preserve">les défenderesses </w:t>
      </w:r>
      <w:r w:rsidR="00411B5A">
        <w:rPr>
          <w:lang w:eastAsia="fr-FR"/>
        </w:rPr>
        <w:t>ne parvien</w:t>
      </w:r>
      <w:r w:rsidR="00536657">
        <w:rPr>
          <w:lang w:eastAsia="fr-FR"/>
        </w:rPr>
        <w:t>nen</w:t>
      </w:r>
      <w:r w:rsidR="00411B5A">
        <w:rPr>
          <w:lang w:eastAsia="fr-FR"/>
        </w:rPr>
        <w:t>t pas davantage à réfuter utilement le grief pris d’un défaut de motifs.</w:t>
      </w:r>
    </w:p>
    <w:p w:rsidR="00411B5A" w:rsidRDefault="00411B5A" w:rsidP="00E849D5">
      <w:pPr>
        <w:ind w:firstLine="557"/>
        <w:jc w:val="both"/>
        <w:rPr>
          <w:lang w:eastAsia="fr-FR"/>
        </w:rPr>
      </w:pPr>
    </w:p>
    <w:p w:rsidR="00411B5A" w:rsidRDefault="00411B5A" w:rsidP="00411B5A">
      <w:pPr>
        <w:ind w:firstLine="557"/>
        <w:jc w:val="both"/>
      </w:pPr>
      <w:r>
        <w:rPr>
          <w:lang w:eastAsia="fr-FR"/>
        </w:rPr>
        <w:t xml:space="preserve">Il est indéniable que la cour n’a pas pris soin de se prononcer sur un élément de preuve déterminant, </w:t>
      </w:r>
      <w:r>
        <w:t>le document « </w:t>
      </w:r>
      <w:r w:rsidRPr="00634A5F">
        <w:rPr>
          <w:i/>
        </w:rPr>
        <w:t>Le Carmel</w:t>
      </w:r>
      <w:r>
        <w:t> » dûment versé aux débats (pièce 38).</w:t>
      </w:r>
    </w:p>
    <w:p w:rsidR="00411B5A" w:rsidRDefault="00411B5A" w:rsidP="00411B5A">
      <w:pPr>
        <w:ind w:firstLine="557"/>
        <w:jc w:val="both"/>
      </w:pPr>
    </w:p>
    <w:p w:rsidR="00411B5A" w:rsidRDefault="00411B5A" w:rsidP="00411B5A">
      <w:pPr>
        <w:ind w:firstLine="557"/>
        <w:jc w:val="both"/>
        <w:rPr>
          <w:lang w:eastAsia="fr-FR"/>
        </w:rPr>
      </w:pPr>
      <w:r>
        <w:t>Ce document précisait donc que le postulant « </w:t>
      </w:r>
      <w:r w:rsidRPr="00394BAC">
        <w:rPr>
          <w:i/>
        </w:rPr>
        <w:t xml:space="preserve">vit </w:t>
      </w:r>
      <w:r w:rsidRPr="00634A5F">
        <w:rPr>
          <w:b/>
          <w:i/>
        </w:rPr>
        <w:t>avec la communauté</w:t>
      </w:r>
      <w:r w:rsidRPr="00394BAC">
        <w:rPr>
          <w:i/>
        </w:rPr>
        <w:t>, participe à la prière, au travail, aux repas et aux récréations</w:t>
      </w:r>
      <w:r>
        <w:t> », que le novice prend l’habit du Carmel et « </w:t>
      </w:r>
      <w:r w:rsidRPr="00634A5F">
        <w:rPr>
          <w:b/>
          <w:i/>
        </w:rPr>
        <w:t>fait à plein</w:t>
      </w:r>
      <w:r w:rsidRPr="00394BAC">
        <w:rPr>
          <w:i/>
        </w:rPr>
        <w:t xml:space="preserve"> l’essai de notre genre de vie</w:t>
      </w:r>
      <w:r>
        <w:t> » et que la vie au noviciat « </w:t>
      </w:r>
      <w:r w:rsidRPr="00394BAC">
        <w:rPr>
          <w:i/>
        </w:rPr>
        <w:t>est rythmée par des temps de prière, de lecture, de travail manuel, de vie fraternelle ou de solitude</w:t>
      </w:r>
      <w:r>
        <w:t> ».</w:t>
      </w:r>
    </w:p>
    <w:p w:rsidR="00411B5A" w:rsidRDefault="00411B5A" w:rsidP="00411B5A">
      <w:pPr>
        <w:ind w:firstLine="540"/>
        <w:jc w:val="both"/>
      </w:pPr>
    </w:p>
    <w:p w:rsidR="00411B5A" w:rsidRDefault="00411B5A" w:rsidP="00411B5A">
      <w:pPr>
        <w:ind w:firstLine="540"/>
        <w:jc w:val="both"/>
      </w:pPr>
      <w:r>
        <w:t> Il précisait encore que « </w:t>
      </w:r>
      <w:r w:rsidRPr="00B64581">
        <w:rPr>
          <w:i/>
        </w:rPr>
        <w:t xml:space="preserve">le postulant </w:t>
      </w:r>
      <w:r w:rsidRPr="00634A5F">
        <w:rPr>
          <w:b/>
          <w:i/>
        </w:rPr>
        <w:t>participe à la vie de la communauté dans ses différents aspects</w:t>
      </w:r>
      <w:r w:rsidRPr="00B64581">
        <w:rPr>
          <w:i/>
        </w:rPr>
        <w:t xml:space="preserve"> : oraison, vie liturgique, lecture méditée de la Parole de Dieu (lectio divina), services, repas, travail, temps de détente et de rencontres communautaires » tandis que « le novice approfondit son expérience de vie fraternelle </w:t>
      </w:r>
      <w:r w:rsidRPr="00634A5F">
        <w:rPr>
          <w:b/>
          <w:i/>
        </w:rPr>
        <w:t>par le partage de la vie de la communauté</w:t>
      </w:r>
      <w:r>
        <w:t> ».</w:t>
      </w:r>
    </w:p>
    <w:p w:rsidR="00411B5A" w:rsidRDefault="00411B5A" w:rsidP="00411B5A">
      <w:pPr>
        <w:ind w:firstLine="540"/>
        <w:jc w:val="both"/>
      </w:pPr>
    </w:p>
    <w:p w:rsidR="00411B5A" w:rsidRDefault="00411B5A" w:rsidP="00411B5A">
      <w:pPr>
        <w:ind w:firstLine="540"/>
        <w:jc w:val="both"/>
      </w:pPr>
      <w:r>
        <w:t>Il y était enfin exposé qu’ « </w:t>
      </w:r>
      <w:r w:rsidRPr="00B64581">
        <w:rPr>
          <w:i/>
        </w:rPr>
        <w:t>en plus des nombreuses heures de prière et de méditation par jour, les postulantes doivent s’habituer au peu d’heures de sommeil, au jeûne et à l’abstinence. Comme le mentionnait sœur Lucille Rioux, il ne s’agit pas tant de la transmission d’un savoir lors de la formation des futures carmélites, mais plutôt de la transmission d’une sagesse et d’un art de vivre</w:t>
      </w:r>
      <w:r>
        <w:t> ».</w:t>
      </w:r>
    </w:p>
    <w:p w:rsidR="00411B5A" w:rsidRDefault="00411B5A" w:rsidP="00411B5A">
      <w:pPr>
        <w:ind w:firstLine="540"/>
        <w:jc w:val="both"/>
      </w:pPr>
    </w:p>
    <w:p w:rsidR="00411B5A" w:rsidRDefault="00411B5A" w:rsidP="00411B5A">
      <w:pPr>
        <w:ind w:firstLine="540"/>
        <w:jc w:val="both"/>
      </w:pPr>
      <w:r>
        <w:t xml:space="preserve">Or, la cour d’appel s’est bornée à ne retenir de ce document que les seuls passages évoquant l’aspect formation permettant de </w:t>
      </w:r>
      <w:r w:rsidRPr="007A3A06">
        <w:rPr>
          <w:u w:val="single"/>
        </w:rPr>
        <w:t>progresser vers</w:t>
      </w:r>
      <w:r>
        <w:t xml:space="preserve"> l’état de profès.</w:t>
      </w:r>
    </w:p>
    <w:p w:rsidR="00411B5A" w:rsidRDefault="00411B5A" w:rsidP="00411B5A">
      <w:pPr>
        <w:ind w:firstLine="540"/>
        <w:jc w:val="both"/>
      </w:pPr>
    </w:p>
    <w:p w:rsidR="00812CC7" w:rsidRDefault="00411B5A" w:rsidP="00411B5A">
      <w:pPr>
        <w:ind w:firstLine="540"/>
        <w:jc w:val="both"/>
      </w:pPr>
      <w:r>
        <w:t>Demeurant parfaitement silencieuse sur ces autres passages témoignant de la réalité de l’engagement du fait même des conditions de vie</w:t>
      </w:r>
      <w:r w:rsidR="00E8249F">
        <w:t xml:space="preserve"> imposées à celui ou celle qui n’a pas encore émis de </w:t>
      </w:r>
      <w:r w:rsidR="00D97E87">
        <w:t>vœux</w:t>
      </w:r>
      <w:r>
        <w:t xml:space="preserve">, la cour d’appel n’a pas valablement motivé sa décision. </w:t>
      </w:r>
    </w:p>
    <w:p w:rsidR="008B74A7" w:rsidRDefault="008B74A7" w:rsidP="00411B5A">
      <w:pPr>
        <w:ind w:firstLine="540"/>
        <w:jc w:val="both"/>
      </w:pPr>
    </w:p>
    <w:p w:rsidR="008B74A7" w:rsidRDefault="00536657" w:rsidP="00411B5A">
      <w:pPr>
        <w:ind w:firstLine="540"/>
        <w:jc w:val="both"/>
      </w:pPr>
      <w:r>
        <w:t xml:space="preserve">Il </w:t>
      </w:r>
      <w:r w:rsidR="008B74A7">
        <w:t xml:space="preserve">ne </w:t>
      </w:r>
      <w:r>
        <w:t>peut donc être sérieusement soutenu</w:t>
      </w:r>
      <w:r w:rsidR="008B74A7">
        <w:t xml:space="preserve"> que ce nouvel arrêt d’appel a su tirer les leçons de la censure prononcée le 28 mai 2014.</w:t>
      </w:r>
    </w:p>
    <w:p w:rsidR="00411B5A" w:rsidRDefault="00411B5A" w:rsidP="00411B5A">
      <w:pPr>
        <w:ind w:firstLine="540"/>
        <w:jc w:val="both"/>
      </w:pPr>
    </w:p>
    <w:p w:rsidR="00812CC7" w:rsidRPr="00240A0A" w:rsidRDefault="00812CC7" w:rsidP="00812CC7">
      <w:pPr>
        <w:ind w:firstLine="557"/>
        <w:jc w:val="both"/>
        <w:rPr>
          <w:lang w:eastAsia="fr-FR"/>
        </w:rPr>
      </w:pPr>
      <w:r>
        <w:rPr>
          <w:lang w:eastAsia="fr-FR"/>
        </w:rPr>
        <w:t>Ces quelques remarques émises, Mme Pasquier solliciter</w:t>
      </w:r>
      <w:r w:rsidR="00411B5A">
        <w:rPr>
          <w:lang w:eastAsia="fr-FR"/>
        </w:rPr>
        <w:t>a</w:t>
      </w:r>
      <w:r>
        <w:rPr>
          <w:lang w:eastAsia="fr-FR"/>
        </w:rPr>
        <w:t xml:space="preserve"> de plus fort l’entier bénéfice de ses précédentes écritures. </w:t>
      </w:r>
    </w:p>
    <w:p w:rsidR="00812CC7" w:rsidRPr="00812CC7" w:rsidRDefault="00812CC7" w:rsidP="00202322">
      <w:pPr>
        <w:ind w:right="113" w:firstLine="540"/>
        <w:jc w:val="both"/>
      </w:pPr>
    </w:p>
    <w:p w:rsidR="00334E09" w:rsidRDefault="00334E09" w:rsidP="00202322">
      <w:pPr>
        <w:ind w:right="113" w:firstLine="540"/>
        <w:jc w:val="both"/>
      </w:pPr>
    </w:p>
    <w:p w:rsidR="000E328A" w:rsidRDefault="000E328A" w:rsidP="00202322">
      <w:pPr>
        <w:ind w:right="113" w:firstLine="540"/>
        <w:jc w:val="both"/>
      </w:pPr>
    </w:p>
    <w:p w:rsidR="000E328A" w:rsidRDefault="000E328A" w:rsidP="00202322">
      <w:pPr>
        <w:ind w:right="113" w:firstLine="540"/>
        <w:jc w:val="both"/>
      </w:pPr>
    </w:p>
    <w:p w:rsidR="00202322" w:rsidRDefault="00202322" w:rsidP="00202322">
      <w:pPr>
        <w:ind w:right="113" w:firstLine="540"/>
        <w:jc w:val="both"/>
        <w:rPr>
          <w:bCs/>
        </w:rPr>
      </w:pPr>
    </w:p>
    <w:p w:rsidR="00202322" w:rsidRDefault="00202322" w:rsidP="00F12CDF">
      <w:pPr>
        <w:ind w:right="113" w:firstLine="540"/>
        <w:jc w:val="both"/>
        <w:rPr>
          <w:bCs/>
        </w:rPr>
      </w:pPr>
    </w:p>
    <w:p w:rsidR="00F12CDF" w:rsidRPr="00BE210D" w:rsidRDefault="00F12CDF" w:rsidP="00F12CDF">
      <w:pPr>
        <w:ind w:right="113" w:firstLine="540"/>
        <w:jc w:val="both"/>
        <w:rPr>
          <w:iCs/>
        </w:rPr>
      </w:pPr>
    </w:p>
    <w:p w:rsidR="00F12CDF" w:rsidRDefault="00F12CDF" w:rsidP="00F12CDF">
      <w:pPr>
        <w:ind w:firstLine="540"/>
      </w:pPr>
    </w:p>
    <w:p w:rsidR="00F12CDF" w:rsidRDefault="00F12CDF"/>
    <w:sectPr w:rsidR="00F12C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A0" w:rsidRDefault="003F27A0">
      <w:r>
        <w:separator/>
      </w:r>
    </w:p>
  </w:endnote>
  <w:endnote w:type="continuationSeparator" w:id="0">
    <w:p w:rsidR="003F27A0" w:rsidRDefault="003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A4" w:rsidRDefault="002431A4" w:rsidP="002431A4">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D01412">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01412">
      <w:rPr>
        <w:rStyle w:val="Numrodepage"/>
        <w:noProof/>
      </w:rPr>
      <w:t>7</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A0" w:rsidRDefault="003F27A0">
      <w:r>
        <w:separator/>
      </w:r>
    </w:p>
  </w:footnote>
  <w:footnote w:type="continuationSeparator" w:id="0">
    <w:p w:rsidR="003F27A0" w:rsidRDefault="003F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CB7"/>
    <w:multiLevelType w:val="hybridMultilevel"/>
    <w:tmpl w:val="BE0EB868"/>
    <w:lvl w:ilvl="0" w:tplc="B6B250F8">
      <w:numFmt w:val="bullet"/>
      <w:lvlText w:val="-"/>
      <w:lvlJc w:val="left"/>
      <w:pPr>
        <w:tabs>
          <w:tab w:val="num" w:pos="1230"/>
        </w:tabs>
        <w:ind w:left="1230" w:hanging="690"/>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5DBD60C6"/>
    <w:multiLevelType w:val="hybridMultilevel"/>
    <w:tmpl w:val="4246C68E"/>
    <w:lvl w:ilvl="0" w:tplc="4C3CEC98">
      <w:start w:val="1"/>
      <w:numFmt w:val="decimal"/>
      <w:lvlText w:val="%1-"/>
      <w:lvlJc w:val="left"/>
      <w:pPr>
        <w:tabs>
          <w:tab w:val="num" w:pos="473"/>
        </w:tabs>
        <w:ind w:left="473" w:hanging="360"/>
      </w:pPr>
      <w:rPr>
        <w:rFonts w:cs="Times New Roman" w:hint="default"/>
      </w:rPr>
    </w:lvl>
    <w:lvl w:ilvl="1" w:tplc="040C0019" w:tentative="1">
      <w:start w:val="1"/>
      <w:numFmt w:val="lowerLetter"/>
      <w:lvlText w:val="%2."/>
      <w:lvlJc w:val="left"/>
      <w:pPr>
        <w:tabs>
          <w:tab w:val="num" w:pos="1193"/>
        </w:tabs>
        <w:ind w:left="1193" w:hanging="360"/>
      </w:pPr>
      <w:rPr>
        <w:rFonts w:cs="Times New Roman"/>
      </w:rPr>
    </w:lvl>
    <w:lvl w:ilvl="2" w:tplc="040C001B" w:tentative="1">
      <w:start w:val="1"/>
      <w:numFmt w:val="lowerRoman"/>
      <w:lvlText w:val="%3."/>
      <w:lvlJc w:val="right"/>
      <w:pPr>
        <w:tabs>
          <w:tab w:val="num" w:pos="1913"/>
        </w:tabs>
        <w:ind w:left="1913" w:hanging="180"/>
      </w:pPr>
      <w:rPr>
        <w:rFonts w:cs="Times New Roman"/>
      </w:rPr>
    </w:lvl>
    <w:lvl w:ilvl="3" w:tplc="040C000F" w:tentative="1">
      <w:start w:val="1"/>
      <w:numFmt w:val="decimal"/>
      <w:lvlText w:val="%4."/>
      <w:lvlJc w:val="left"/>
      <w:pPr>
        <w:tabs>
          <w:tab w:val="num" w:pos="2633"/>
        </w:tabs>
        <w:ind w:left="2633" w:hanging="360"/>
      </w:pPr>
      <w:rPr>
        <w:rFonts w:cs="Times New Roman"/>
      </w:rPr>
    </w:lvl>
    <w:lvl w:ilvl="4" w:tplc="040C0019" w:tentative="1">
      <w:start w:val="1"/>
      <w:numFmt w:val="lowerLetter"/>
      <w:lvlText w:val="%5."/>
      <w:lvlJc w:val="left"/>
      <w:pPr>
        <w:tabs>
          <w:tab w:val="num" w:pos="3353"/>
        </w:tabs>
        <w:ind w:left="3353" w:hanging="360"/>
      </w:pPr>
      <w:rPr>
        <w:rFonts w:cs="Times New Roman"/>
      </w:rPr>
    </w:lvl>
    <w:lvl w:ilvl="5" w:tplc="040C001B" w:tentative="1">
      <w:start w:val="1"/>
      <w:numFmt w:val="lowerRoman"/>
      <w:lvlText w:val="%6."/>
      <w:lvlJc w:val="right"/>
      <w:pPr>
        <w:tabs>
          <w:tab w:val="num" w:pos="4073"/>
        </w:tabs>
        <w:ind w:left="4073" w:hanging="180"/>
      </w:pPr>
      <w:rPr>
        <w:rFonts w:cs="Times New Roman"/>
      </w:rPr>
    </w:lvl>
    <w:lvl w:ilvl="6" w:tplc="040C000F" w:tentative="1">
      <w:start w:val="1"/>
      <w:numFmt w:val="decimal"/>
      <w:lvlText w:val="%7."/>
      <w:lvlJc w:val="left"/>
      <w:pPr>
        <w:tabs>
          <w:tab w:val="num" w:pos="4793"/>
        </w:tabs>
        <w:ind w:left="4793" w:hanging="360"/>
      </w:pPr>
      <w:rPr>
        <w:rFonts w:cs="Times New Roman"/>
      </w:rPr>
    </w:lvl>
    <w:lvl w:ilvl="7" w:tplc="040C0019" w:tentative="1">
      <w:start w:val="1"/>
      <w:numFmt w:val="lowerLetter"/>
      <w:lvlText w:val="%8."/>
      <w:lvlJc w:val="left"/>
      <w:pPr>
        <w:tabs>
          <w:tab w:val="num" w:pos="5513"/>
        </w:tabs>
        <w:ind w:left="5513" w:hanging="360"/>
      </w:pPr>
      <w:rPr>
        <w:rFonts w:cs="Times New Roman"/>
      </w:rPr>
    </w:lvl>
    <w:lvl w:ilvl="8" w:tplc="040C001B" w:tentative="1">
      <w:start w:val="1"/>
      <w:numFmt w:val="lowerRoman"/>
      <w:lvlText w:val="%9."/>
      <w:lvlJc w:val="right"/>
      <w:pPr>
        <w:tabs>
          <w:tab w:val="num" w:pos="6233"/>
        </w:tabs>
        <w:ind w:left="6233"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DF"/>
    <w:rsid w:val="000305C3"/>
    <w:rsid w:val="000B2CE3"/>
    <w:rsid w:val="000B5316"/>
    <w:rsid w:val="000E328A"/>
    <w:rsid w:val="000E53AE"/>
    <w:rsid w:val="000F3AB7"/>
    <w:rsid w:val="00135796"/>
    <w:rsid w:val="00172DA1"/>
    <w:rsid w:val="00172F56"/>
    <w:rsid w:val="001B3C26"/>
    <w:rsid w:val="00202322"/>
    <w:rsid w:val="00240A0A"/>
    <w:rsid w:val="002431A4"/>
    <w:rsid w:val="002A1596"/>
    <w:rsid w:val="00314EA0"/>
    <w:rsid w:val="00334E09"/>
    <w:rsid w:val="00343626"/>
    <w:rsid w:val="00384348"/>
    <w:rsid w:val="00394BAC"/>
    <w:rsid w:val="003F27A0"/>
    <w:rsid w:val="00411B5A"/>
    <w:rsid w:val="00536657"/>
    <w:rsid w:val="00571AD4"/>
    <w:rsid w:val="005940F1"/>
    <w:rsid w:val="005A2E9A"/>
    <w:rsid w:val="005F4B21"/>
    <w:rsid w:val="00617AD3"/>
    <w:rsid w:val="00634A5F"/>
    <w:rsid w:val="00680B85"/>
    <w:rsid w:val="006B6C18"/>
    <w:rsid w:val="007829F1"/>
    <w:rsid w:val="007A3A06"/>
    <w:rsid w:val="007C2F98"/>
    <w:rsid w:val="008112FE"/>
    <w:rsid w:val="0081171B"/>
    <w:rsid w:val="00812CC7"/>
    <w:rsid w:val="00845B6A"/>
    <w:rsid w:val="008B74A7"/>
    <w:rsid w:val="00956D4F"/>
    <w:rsid w:val="009A16CB"/>
    <w:rsid w:val="009A5CE6"/>
    <w:rsid w:val="009F24A5"/>
    <w:rsid w:val="00A64F4A"/>
    <w:rsid w:val="00B17BA3"/>
    <w:rsid w:val="00B64581"/>
    <w:rsid w:val="00B823C6"/>
    <w:rsid w:val="00B838D4"/>
    <w:rsid w:val="00BE210D"/>
    <w:rsid w:val="00BF7BE1"/>
    <w:rsid w:val="00CD4514"/>
    <w:rsid w:val="00D01412"/>
    <w:rsid w:val="00D17E46"/>
    <w:rsid w:val="00D97E87"/>
    <w:rsid w:val="00DF0E2E"/>
    <w:rsid w:val="00E8249F"/>
    <w:rsid w:val="00E849D5"/>
    <w:rsid w:val="00EA7AB1"/>
    <w:rsid w:val="00EB276E"/>
    <w:rsid w:val="00F12CDF"/>
    <w:rsid w:val="00F22716"/>
    <w:rsid w:val="00F51A4A"/>
    <w:rsid w:val="00FC1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DF"/>
    <w:pPr>
      <w:suppressAutoHyphens/>
      <w:spacing w:after="0" w:line="240" w:lineRule="auto"/>
    </w:pPr>
    <w:rPr>
      <w:sz w:val="24"/>
      <w:szCs w:val="24"/>
      <w:lang w:eastAsia="ar-SA"/>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431A4"/>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lang w:val="x-none" w:eastAsia="ar-SA" w:bidi="ar-SA"/>
    </w:rPr>
  </w:style>
  <w:style w:type="paragraph" w:styleId="Pieddepage">
    <w:name w:val="footer"/>
    <w:basedOn w:val="Normal"/>
    <w:link w:val="PieddepageCar"/>
    <w:uiPriority w:val="99"/>
    <w:rsid w:val="002431A4"/>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lang w:val="x-none" w:eastAsia="ar-SA" w:bidi="ar-SA"/>
    </w:rPr>
  </w:style>
  <w:style w:type="character" w:styleId="Numrodepage">
    <w:name w:val="page number"/>
    <w:basedOn w:val="Policepardfaut"/>
    <w:uiPriority w:val="99"/>
    <w:rsid w:val="002431A4"/>
    <w:rPr>
      <w:rFonts w:cs="Times New Roman"/>
    </w:rPr>
  </w:style>
  <w:style w:type="paragraph" w:styleId="NormalWeb">
    <w:name w:val="Normal (Web)"/>
    <w:basedOn w:val="Normal"/>
    <w:uiPriority w:val="99"/>
    <w:rsid w:val="00172DA1"/>
    <w:pPr>
      <w:suppressAutoHyphens w:val="0"/>
      <w:spacing w:before="100" w:beforeAutospacing="1" w:after="100" w:afterAutospacing="1"/>
    </w:pPr>
    <w:rPr>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DF"/>
    <w:pPr>
      <w:suppressAutoHyphens/>
      <w:spacing w:after="0" w:line="240" w:lineRule="auto"/>
    </w:pPr>
    <w:rPr>
      <w:sz w:val="24"/>
      <w:szCs w:val="24"/>
      <w:lang w:eastAsia="ar-SA"/>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431A4"/>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lang w:val="x-none" w:eastAsia="ar-SA" w:bidi="ar-SA"/>
    </w:rPr>
  </w:style>
  <w:style w:type="paragraph" w:styleId="Pieddepage">
    <w:name w:val="footer"/>
    <w:basedOn w:val="Normal"/>
    <w:link w:val="PieddepageCar"/>
    <w:uiPriority w:val="99"/>
    <w:rsid w:val="002431A4"/>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lang w:val="x-none" w:eastAsia="ar-SA" w:bidi="ar-SA"/>
    </w:rPr>
  </w:style>
  <w:style w:type="character" w:styleId="Numrodepage">
    <w:name w:val="page number"/>
    <w:basedOn w:val="Policepardfaut"/>
    <w:uiPriority w:val="99"/>
    <w:rsid w:val="002431A4"/>
    <w:rPr>
      <w:rFonts w:cs="Times New Roman"/>
    </w:rPr>
  </w:style>
  <w:style w:type="paragraph" w:styleId="NormalWeb">
    <w:name w:val="Normal (Web)"/>
    <w:basedOn w:val="Normal"/>
    <w:uiPriority w:val="99"/>
    <w:rsid w:val="00172DA1"/>
    <w:pPr>
      <w:suppressAutoHyphens w:val="0"/>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2734</Words>
  <Characters>15042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COUR DE CASSATION</vt:lpstr>
    </vt:vector>
  </TitlesOfParts>
  <Company>Microsoft</Company>
  <LinksUpToDate>false</LinksUpToDate>
  <CharactersWithSpaces>17741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creator>user</dc:creator>
  <cp:lastModifiedBy>AUVINET Joseph</cp:lastModifiedBy>
  <cp:revision>2</cp:revision>
  <dcterms:created xsi:type="dcterms:W3CDTF">2016-11-11T18:15:00Z</dcterms:created>
  <dcterms:modified xsi:type="dcterms:W3CDTF">2016-11-11T18:15:00Z</dcterms:modified>
</cp:coreProperties>
</file>