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4AA8" w:rsidRPr="00244AA8" w:rsidRDefault="00244AA8" w:rsidP="00244AA8">
      <w:pPr>
        <w:spacing w:before="120"/>
        <w:outlineLvl w:val="0"/>
        <w:rPr>
          <w:rFonts w:ascii="Arial Narrow" w:hAnsi="Arial Narrow"/>
          <w:b/>
          <w:bCs/>
          <w:kern w:val="36"/>
          <w:sz w:val="28"/>
          <w:szCs w:val="28"/>
          <w:lang w:eastAsia="fr-FR"/>
        </w:rPr>
      </w:pPr>
      <w:r w:rsidRPr="00244AA8">
        <w:rPr>
          <w:rFonts w:ascii="Arial Narrow" w:hAnsi="Arial Narrow"/>
          <w:b/>
          <w:bCs/>
          <w:kern w:val="36"/>
          <w:sz w:val="28"/>
          <w:szCs w:val="28"/>
          <w:lang w:eastAsia="fr-FR"/>
        </w:rPr>
        <w:t xml:space="preserve">Réorganisation du contentieux de la sécurité sociale et de l’action sociale </w:t>
      </w:r>
    </w:p>
    <w:p w:rsidR="004037BF" w:rsidRDefault="004037BF" w:rsidP="00244AA8">
      <w:pPr>
        <w:spacing w:before="120"/>
        <w:rPr>
          <w:rFonts w:ascii="Arial Narrow" w:hAnsi="Arial Narrow"/>
          <w:sz w:val="22"/>
          <w:szCs w:val="22"/>
          <w:lang w:eastAsia="fr-FR"/>
        </w:rPr>
      </w:pPr>
      <w:hyperlink r:id="rId8" w:history="1">
        <w:r w:rsidRPr="00535EC3">
          <w:rPr>
            <w:rStyle w:val="Lienhypertexte"/>
            <w:rFonts w:ascii="Arial Narrow" w:hAnsi="Arial Narrow"/>
            <w:sz w:val="22"/>
            <w:szCs w:val="22"/>
            <w:lang w:eastAsia="fr-FR"/>
          </w:rPr>
          <w:t>https://www.dalloz-actualite.fr/flash/reorganisation-du-contentieux-de-securite-sociale-et-de-l-action-sociale</w:t>
        </w:r>
      </w:hyperlink>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br/>
      </w:r>
      <w:hyperlink r:id="rId9" w:history="1">
        <w:r w:rsidRPr="00244AA8">
          <w:rPr>
            <w:rFonts w:ascii="Arial Narrow" w:hAnsi="Arial Narrow"/>
            <w:color w:val="0000FF"/>
            <w:sz w:val="22"/>
            <w:szCs w:val="22"/>
            <w:u w:val="single"/>
            <w:lang w:eastAsia="fr-FR"/>
          </w:rPr>
          <w:t>CIVIL</w:t>
        </w:r>
      </w:hyperlink>
      <w:r w:rsidRPr="00244AA8">
        <w:rPr>
          <w:rFonts w:ascii="Arial Narrow" w:hAnsi="Arial Narrow"/>
          <w:sz w:val="22"/>
          <w:szCs w:val="22"/>
          <w:lang w:eastAsia="fr-FR"/>
        </w:rPr>
        <w:t xml:space="preserve"> | </w:t>
      </w:r>
      <w:hyperlink r:id="rId10" w:history="1">
        <w:r w:rsidRPr="00244AA8">
          <w:rPr>
            <w:rFonts w:ascii="Arial Narrow" w:hAnsi="Arial Narrow"/>
            <w:color w:val="0000FF"/>
            <w:sz w:val="22"/>
            <w:szCs w:val="22"/>
            <w:u w:val="single"/>
            <w:lang w:eastAsia="fr-FR"/>
          </w:rPr>
          <w:t>Procédure civile</w:t>
        </w:r>
      </w:hyperlink>
      <w:r w:rsidRPr="00244AA8">
        <w:rPr>
          <w:rFonts w:ascii="Arial Narrow" w:hAnsi="Arial Narrow"/>
          <w:sz w:val="22"/>
          <w:szCs w:val="22"/>
          <w:lang w:eastAsia="fr-FR"/>
        </w:rPr>
        <w:br/>
      </w:r>
      <w:hyperlink r:id="rId11" w:history="1">
        <w:r w:rsidRPr="00244AA8">
          <w:rPr>
            <w:rFonts w:ascii="Arial Narrow" w:hAnsi="Arial Narrow"/>
            <w:color w:val="0000FF"/>
            <w:sz w:val="22"/>
            <w:szCs w:val="22"/>
            <w:u w:val="single"/>
            <w:lang w:eastAsia="fr-FR"/>
          </w:rPr>
          <w:t>SOCIAL</w:t>
        </w:r>
      </w:hyperlink>
      <w:r w:rsidRPr="00244AA8">
        <w:rPr>
          <w:rFonts w:ascii="Arial Narrow" w:hAnsi="Arial Narrow"/>
          <w:sz w:val="22"/>
          <w:szCs w:val="22"/>
          <w:lang w:eastAsia="fr-FR"/>
        </w:rPr>
        <w:t xml:space="preserve"> | </w:t>
      </w:r>
      <w:hyperlink r:id="rId12" w:history="1">
        <w:r w:rsidRPr="00244AA8">
          <w:rPr>
            <w:rFonts w:ascii="Arial Narrow" w:hAnsi="Arial Narrow"/>
            <w:color w:val="0000FF"/>
            <w:sz w:val="22"/>
            <w:szCs w:val="22"/>
            <w:u w:val="single"/>
            <w:lang w:eastAsia="fr-FR"/>
          </w:rPr>
          <w:t>Contrôle et contentieux</w:t>
        </w:r>
      </w:hyperlink>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Prise sur l’autorisation de l’article 109, I de la loi n° 2016-1547 du 18 novembre 2016 de modernisation de la justice du 21</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siècle, une ordonnance n° 2018-358 du 16 mai 2018 relative au traitement juridictionnel du contentieux de la sécurité sociale et de l’aide sociale a été publiée au </w:t>
      </w:r>
      <w:r w:rsidRPr="00244AA8">
        <w:rPr>
          <w:rFonts w:ascii="Arial Narrow" w:hAnsi="Arial Narrow"/>
          <w:i/>
          <w:iCs/>
          <w:sz w:val="22"/>
          <w:szCs w:val="22"/>
          <w:lang w:eastAsia="fr-FR"/>
        </w:rPr>
        <w:t xml:space="preserve">Journal officiel </w:t>
      </w:r>
      <w:r w:rsidRPr="00244AA8">
        <w:rPr>
          <w:rFonts w:ascii="Arial Narrow" w:hAnsi="Arial Narrow"/>
          <w:sz w:val="22"/>
          <w:szCs w:val="22"/>
          <w:lang w:eastAsia="fr-FR"/>
        </w:rPr>
        <w:t>du 17 mai.</w:t>
      </w:r>
    </w:p>
    <w:p w:rsidR="00244AA8" w:rsidRPr="00244AA8" w:rsidRDefault="00244AA8" w:rsidP="00244AA8">
      <w:pPr>
        <w:spacing w:before="120"/>
        <w:rPr>
          <w:rFonts w:ascii="Arial Narrow" w:hAnsi="Arial Narrow"/>
          <w:sz w:val="22"/>
          <w:szCs w:val="22"/>
          <w:lang w:eastAsia="fr-FR"/>
        </w:rPr>
      </w:pPr>
      <w:proofErr w:type="gramStart"/>
      <w:r w:rsidRPr="00244AA8">
        <w:rPr>
          <w:rFonts w:ascii="Arial Narrow" w:hAnsi="Arial Narrow"/>
          <w:sz w:val="22"/>
          <w:szCs w:val="22"/>
          <w:lang w:eastAsia="fr-FR"/>
        </w:rPr>
        <w:t>par</w:t>
      </w:r>
      <w:proofErr w:type="gramEnd"/>
      <w:r w:rsidRPr="00244AA8">
        <w:rPr>
          <w:rFonts w:ascii="Arial Narrow" w:hAnsi="Arial Narrow"/>
          <w:sz w:val="22"/>
          <w:szCs w:val="22"/>
          <w:lang w:eastAsia="fr-FR"/>
        </w:rPr>
        <w:t> </w:t>
      </w:r>
      <w:hyperlink r:id="rId13" w:history="1">
        <w:r w:rsidRPr="00244AA8">
          <w:rPr>
            <w:rFonts w:ascii="Arial Narrow" w:hAnsi="Arial Narrow"/>
            <w:color w:val="0000FF"/>
            <w:sz w:val="22"/>
            <w:szCs w:val="22"/>
            <w:u w:val="single"/>
            <w:lang w:eastAsia="fr-FR"/>
          </w:rPr>
          <w:t xml:space="preserve">Corinne </w:t>
        </w:r>
        <w:proofErr w:type="spellStart"/>
        <w:r w:rsidRPr="00244AA8">
          <w:rPr>
            <w:rFonts w:ascii="Arial Narrow" w:hAnsi="Arial Narrow"/>
            <w:color w:val="0000FF"/>
            <w:sz w:val="22"/>
            <w:szCs w:val="22"/>
            <w:u w:val="single"/>
            <w:lang w:eastAsia="fr-FR"/>
          </w:rPr>
          <w:t>Bléry</w:t>
        </w:r>
        <w:proofErr w:type="spellEnd"/>
        <w:r w:rsidRPr="00244AA8">
          <w:rPr>
            <w:rFonts w:ascii="Arial Narrow" w:hAnsi="Arial Narrow"/>
            <w:color w:val="0000FF"/>
            <w:sz w:val="22"/>
            <w:szCs w:val="22"/>
            <w:u w:val="single"/>
            <w:lang w:eastAsia="fr-FR"/>
          </w:rPr>
          <w:t xml:space="preserve"> et Erick </w:t>
        </w:r>
        <w:proofErr w:type="spellStart"/>
        <w:r w:rsidRPr="00244AA8">
          <w:rPr>
            <w:rFonts w:ascii="Arial Narrow" w:hAnsi="Arial Narrow"/>
            <w:color w:val="0000FF"/>
            <w:sz w:val="22"/>
            <w:szCs w:val="22"/>
            <w:u w:val="single"/>
            <w:lang w:eastAsia="fr-FR"/>
          </w:rPr>
          <w:t>Tamion</w:t>
        </w:r>
      </w:hyperlink>
      <w:r w:rsidRPr="00244AA8">
        <w:rPr>
          <w:rFonts w:ascii="Arial Narrow" w:hAnsi="Arial Narrow"/>
          <w:sz w:val="22"/>
          <w:szCs w:val="22"/>
          <w:lang w:eastAsia="fr-FR"/>
        </w:rPr>
        <w:t>le</w:t>
      </w:r>
      <w:proofErr w:type="spellEnd"/>
      <w:r w:rsidRPr="00244AA8">
        <w:rPr>
          <w:rFonts w:ascii="Arial Narrow" w:hAnsi="Arial Narrow"/>
          <w:sz w:val="22"/>
          <w:szCs w:val="22"/>
          <w:lang w:eastAsia="fr-FR"/>
        </w:rPr>
        <w:t xml:space="preserve"> 25 mai 2018 </w:t>
      </w:r>
    </w:p>
    <w:p w:rsidR="00244AA8" w:rsidRPr="00244AA8" w:rsidRDefault="00244AA8" w:rsidP="00244AA8">
      <w:pPr>
        <w:spacing w:before="120"/>
        <w:rPr>
          <w:rFonts w:ascii="Arial Narrow" w:hAnsi="Arial Narrow"/>
          <w:sz w:val="22"/>
          <w:szCs w:val="22"/>
          <w:lang w:eastAsia="fr-FR"/>
        </w:rPr>
      </w:pPr>
      <w:hyperlink r:id="rId14" w:history="1">
        <w:r w:rsidRPr="00244AA8">
          <w:rPr>
            <w:rFonts w:ascii="Arial Narrow" w:hAnsi="Arial Narrow"/>
            <w:color w:val="0000FF"/>
            <w:sz w:val="22"/>
            <w:szCs w:val="22"/>
            <w:u w:val="single"/>
            <w:lang w:eastAsia="fr-FR"/>
          </w:rPr>
          <w:t xml:space="preserve">Ord. </w:t>
        </w:r>
        <w:proofErr w:type="gramStart"/>
        <w:r w:rsidRPr="00244AA8">
          <w:rPr>
            <w:rFonts w:ascii="Arial Narrow" w:hAnsi="Arial Narrow"/>
            <w:color w:val="0000FF"/>
            <w:sz w:val="22"/>
            <w:szCs w:val="22"/>
            <w:u w:val="single"/>
            <w:lang w:eastAsia="fr-FR"/>
          </w:rPr>
          <w:t>n</w:t>
        </w:r>
        <w:proofErr w:type="gramEnd"/>
        <w:r w:rsidRPr="00244AA8">
          <w:rPr>
            <w:rFonts w:ascii="Arial Narrow" w:hAnsi="Arial Narrow"/>
            <w:color w:val="0000FF"/>
            <w:sz w:val="22"/>
            <w:szCs w:val="22"/>
            <w:u w:val="single"/>
            <w:lang w:eastAsia="fr-FR"/>
          </w:rPr>
          <w:t>° 2018-358, 16 mai 2018, JO 17 mai</w:t>
        </w:r>
      </w:hyperlink>
      <w:r w:rsidRPr="00244AA8">
        <w:rPr>
          <w:rFonts w:ascii="Arial Narrow" w:hAnsi="Arial Narrow"/>
          <w:sz w:val="22"/>
          <w:szCs w:val="22"/>
          <w:lang w:eastAsia="fr-FR"/>
        </w:rPr>
        <w:t xml:space="preserve"> </w:t>
      </w:r>
    </w:p>
    <w:p w:rsidR="00244AA8" w:rsidRPr="00244AA8" w:rsidRDefault="00244AA8" w:rsidP="00244AA8">
      <w:pPr>
        <w:spacing w:before="120"/>
        <w:rPr>
          <w:rFonts w:ascii="Arial Narrow" w:hAnsi="Arial Narrow"/>
          <w:sz w:val="22"/>
          <w:szCs w:val="22"/>
          <w:lang w:eastAsia="fr-FR"/>
        </w:rPr>
      </w:pPr>
    </w:p>
    <w:p w:rsidR="00244AA8" w:rsidRPr="00244AA8" w:rsidRDefault="00244AA8" w:rsidP="00244AA8">
      <w:pPr>
        <w:spacing w:before="120"/>
        <w:rPr>
          <w:rFonts w:ascii="Arial Narrow" w:hAnsi="Arial Narrow"/>
          <w:sz w:val="22"/>
          <w:szCs w:val="22"/>
          <w:lang w:eastAsia="fr-FR"/>
        </w:rPr>
      </w:pPr>
      <w:r w:rsidRPr="00244AA8">
        <w:rPr>
          <w:rFonts w:ascii="Arial Narrow" w:hAnsi="Arial Narrow"/>
          <w:i/>
          <w:iCs/>
          <w:sz w:val="22"/>
          <w:szCs w:val="22"/>
          <w:lang w:eastAsia="fr-FR"/>
        </w:rPr>
        <w:t>Le présent commentaire a été rédigé par C.</w:t>
      </w:r>
      <w:r w:rsidRPr="00244AA8">
        <w:rPr>
          <w:rFonts w:ascii="Arial Narrow" w:hAnsi="Arial Narrow"/>
          <w:sz w:val="22"/>
          <w:szCs w:val="22"/>
          <w:lang w:eastAsia="fr-FR"/>
        </w:rPr>
        <w:t> </w:t>
      </w:r>
      <w:proofErr w:type="spellStart"/>
      <w:r w:rsidRPr="00244AA8">
        <w:rPr>
          <w:rFonts w:ascii="Arial Narrow" w:hAnsi="Arial Narrow"/>
          <w:i/>
          <w:iCs/>
          <w:sz w:val="22"/>
          <w:szCs w:val="22"/>
          <w:lang w:eastAsia="fr-FR"/>
        </w:rPr>
        <w:t>Bléry</w:t>
      </w:r>
      <w:proofErr w:type="spellEnd"/>
      <w:r w:rsidRPr="00244AA8">
        <w:rPr>
          <w:rFonts w:ascii="Arial Narrow" w:hAnsi="Arial Narrow"/>
          <w:i/>
          <w:iCs/>
          <w:sz w:val="22"/>
          <w:szCs w:val="22"/>
          <w:lang w:eastAsia="fr-FR"/>
        </w:rPr>
        <w:t xml:space="preserve"> et, s’agissant des dispositions relatives au recours préalable obligatoire et à l’expertise médicale, par E.</w:t>
      </w:r>
      <w:r w:rsidRPr="00244AA8">
        <w:rPr>
          <w:rFonts w:ascii="Arial Narrow" w:hAnsi="Arial Narrow"/>
          <w:sz w:val="22"/>
          <w:szCs w:val="22"/>
          <w:lang w:eastAsia="fr-FR"/>
        </w:rPr>
        <w:t> </w:t>
      </w:r>
      <w:proofErr w:type="spellStart"/>
      <w:r w:rsidRPr="00244AA8">
        <w:rPr>
          <w:rFonts w:ascii="Arial Narrow" w:hAnsi="Arial Narrow"/>
          <w:i/>
          <w:iCs/>
          <w:sz w:val="22"/>
          <w:szCs w:val="22"/>
          <w:lang w:eastAsia="fr-FR"/>
        </w:rPr>
        <w:t>Tamion</w:t>
      </w:r>
      <w:proofErr w:type="spellEnd"/>
      <w:r w:rsidRPr="00244AA8">
        <w:rPr>
          <w:rFonts w:ascii="Arial Narrow" w:hAnsi="Arial Narrow"/>
          <w:i/>
          <w:iCs/>
          <w:sz w:val="22"/>
          <w:szCs w:val="22"/>
          <w:lang w:eastAsia="fr-FR"/>
        </w:rPr>
        <w: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L’ordonnance n° 2018-358 du 16 mai 2018 prend les mesures destinées à la création, à l’aménagement ou à la modification des dispositions de nature législative dans les textes et codes en vigueur permettant d’assurer la mise en œuvre et de tirer les conséquences de la suppression des juridictions de la sécurité sociale et de l’aide sociale par la loi du 18 novembre 2016, dite loi J21.</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Cette dernière, en son article 12, avait en effet entrepris de simplifier le système complexe relatif au contentieux de la sécurité sociale, à la fois en prévoyant la suppression de plusieurs juridictions d’exception et un transfert de ce contentieux au profit des juridictions judiciaires, voire administratives, de droit commun, tant en première instance qu’en appel (C. </w:t>
      </w:r>
      <w:proofErr w:type="spellStart"/>
      <w:r w:rsidRPr="00244AA8">
        <w:rPr>
          <w:rFonts w:ascii="Arial Narrow" w:hAnsi="Arial Narrow"/>
          <w:sz w:val="22"/>
          <w:szCs w:val="22"/>
          <w:lang w:eastAsia="fr-FR"/>
        </w:rPr>
        <w:t>Bléry</w:t>
      </w:r>
      <w:proofErr w:type="spellEnd"/>
      <w:r w:rsidRPr="00244AA8">
        <w:rPr>
          <w:rFonts w:ascii="Arial Narrow" w:hAnsi="Arial Narrow"/>
          <w:sz w:val="22"/>
          <w:szCs w:val="22"/>
          <w:lang w:eastAsia="fr-FR"/>
        </w:rPr>
        <w:t xml:space="preserve">, JXXI : à propos de la réforme du contentieux de la Sécurité sociale et de l’action sociale, Gaz. Pal. 31 janv. 2017, p. 72 ; A. </w:t>
      </w:r>
      <w:proofErr w:type="spellStart"/>
      <w:r w:rsidRPr="00244AA8">
        <w:rPr>
          <w:rFonts w:ascii="Arial Narrow" w:hAnsi="Arial Narrow"/>
          <w:sz w:val="22"/>
          <w:szCs w:val="22"/>
          <w:lang w:eastAsia="fr-FR"/>
        </w:rPr>
        <w:t>Bugada</w:t>
      </w:r>
      <w:proofErr w:type="spellEnd"/>
      <w:r w:rsidRPr="00244AA8">
        <w:rPr>
          <w:rFonts w:ascii="Arial Narrow" w:hAnsi="Arial Narrow"/>
          <w:sz w:val="22"/>
          <w:szCs w:val="22"/>
          <w:lang w:eastAsia="fr-FR"/>
        </w:rPr>
        <w:t>, La refonte du contentieux de la sécurité sociale dans la justice du XXI</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siècle, Procédures 2017. Étude 11 ; A. </w:t>
      </w:r>
      <w:proofErr w:type="spellStart"/>
      <w:r w:rsidRPr="00244AA8">
        <w:rPr>
          <w:rFonts w:ascii="Arial Narrow" w:hAnsi="Arial Narrow"/>
          <w:sz w:val="22"/>
          <w:szCs w:val="22"/>
          <w:lang w:eastAsia="fr-FR"/>
        </w:rPr>
        <w:t>Bouilloux</w:t>
      </w:r>
      <w:proofErr w:type="spellEnd"/>
      <w:r w:rsidRPr="00244AA8">
        <w:rPr>
          <w:rFonts w:ascii="Arial Narrow" w:hAnsi="Arial Narrow"/>
          <w:sz w:val="22"/>
          <w:szCs w:val="22"/>
          <w:lang w:eastAsia="fr-FR"/>
        </w:rPr>
        <w:t>, La réforme des contentieux sociaux par la loi de modernisation de la justice du XXI</w:t>
      </w:r>
      <w:r w:rsidRPr="00244AA8">
        <w:rPr>
          <w:rFonts w:ascii="Arial Narrow" w:hAnsi="Arial Narrow"/>
          <w:sz w:val="22"/>
          <w:szCs w:val="22"/>
          <w:vertAlign w:val="superscript"/>
          <w:lang w:eastAsia="fr-FR"/>
        </w:rPr>
        <w:t xml:space="preserve">e </w:t>
      </w:r>
      <w:r w:rsidRPr="00244AA8">
        <w:rPr>
          <w:rFonts w:ascii="Arial Narrow" w:hAnsi="Arial Narrow"/>
          <w:sz w:val="22"/>
          <w:szCs w:val="22"/>
          <w:lang w:eastAsia="fr-FR"/>
        </w:rPr>
        <w:t xml:space="preserve">siècle, JCP soc. 2017.10 </w:t>
      </w:r>
      <w:proofErr w:type="gramStart"/>
      <w:r w:rsidRPr="00244AA8">
        <w:rPr>
          <w:rFonts w:ascii="Arial Narrow" w:hAnsi="Arial Narrow"/>
          <w:sz w:val="22"/>
          <w:szCs w:val="22"/>
          <w:lang w:eastAsia="fr-FR"/>
        </w:rPr>
        <w:t>;  D.</w:t>
      </w:r>
      <w:proofErr w:type="gramEnd"/>
      <w:r w:rsidRPr="00244AA8">
        <w:rPr>
          <w:rFonts w:ascii="Arial Narrow" w:hAnsi="Arial Narrow"/>
          <w:sz w:val="22"/>
          <w:szCs w:val="22"/>
          <w:lang w:eastAsia="fr-FR"/>
        </w:rPr>
        <w:t xml:space="preserve"> Cholet, </w:t>
      </w:r>
      <w:r w:rsidRPr="00244AA8">
        <w:rPr>
          <w:rFonts w:ascii="Arial Narrow" w:hAnsi="Arial Narrow"/>
          <w:i/>
          <w:iCs/>
          <w:sz w:val="22"/>
          <w:szCs w:val="22"/>
          <w:lang w:eastAsia="fr-FR"/>
        </w:rPr>
        <w:t>in </w:t>
      </w:r>
      <w:r w:rsidRPr="00244AA8">
        <w:rPr>
          <w:rFonts w:ascii="Arial Narrow" w:hAnsi="Arial Narrow"/>
          <w:sz w:val="22"/>
          <w:szCs w:val="22"/>
          <w:lang w:eastAsia="fr-FR"/>
        </w:rPr>
        <w:t>S. Guinchard (</w:t>
      </w:r>
      <w:proofErr w:type="spellStart"/>
      <w:r w:rsidRPr="00244AA8">
        <w:rPr>
          <w:rFonts w:ascii="Arial Narrow" w:hAnsi="Arial Narrow"/>
          <w:sz w:val="22"/>
          <w:szCs w:val="22"/>
          <w:lang w:eastAsia="fr-FR"/>
        </w:rPr>
        <w:t>dir</w:t>
      </w:r>
      <w:proofErr w:type="spellEnd"/>
      <w:r w:rsidRPr="00244AA8">
        <w:rPr>
          <w:rFonts w:ascii="Arial Narrow" w:hAnsi="Arial Narrow"/>
          <w:sz w:val="22"/>
          <w:szCs w:val="22"/>
          <w:lang w:eastAsia="fr-FR"/>
        </w:rPr>
        <w:t>.), </w:t>
      </w:r>
      <w:r w:rsidRPr="00244AA8">
        <w:rPr>
          <w:rFonts w:ascii="Arial Narrow" w:hAnsi="Arial Narrow"/>
          <w:i/>
          <w:iCs/>
          <w:sz w:val="22"/>
          <w:szCs w:val="22"/>
          <w:lang w:eastAsia="fr-FR"/>
        </w:rPr>
        <w:t>Droit et pratique de la procédure civile. Droits interne et de l’Union européenne</w:t>
      </w:r>
      <w:r w:rsidRPr="00244AA8">
        <w:rPr>
          <w:rFonts w:ascii="Arial Narrow" w:hAnsi="Arial Narrow"/>
          <w:sz w:val="22"/>
          <w:szCs w:val="22"/>
          <w:lang w:eastAsia="fr-FR"/>
        </w:rPr>
        <w:t>, 9</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éd., Dalloz Action 2016/2017, n</w:t>
      </w:r>
      <w:r w:rsidRPr="00244AA8">
        <w:rPr>
          <w:rFonts w:ascii="Arial Narrow" w:hAnsi="Arial Narrow"/>
          <w:sz w:val="22"/>
          <w:szCs w:val="22"/>
          <w:vertAlign w:val="superscript"/>
          <w:lang w:eastAsia="fr-FR"/>
        </w:rPr>
        <w:t>os</w:t>
      </w:r>
      <w:r w:rsidRPr="00244AA8">
        <w:rPr>
          <w:rFonts w:ascii="Arial Narrow" w:hAnsi="Arial Narrow"/>
          <w:sz w:val="22"/>
          <w:szCs w:val="22"/>
          <w:lang w:eastAsia="fr-FR"/>
        </w:rPr>
        <w:t xml:space="preserve"> 124.481 et 124.523).</w:t>
      </w:r>
    </w:p>
    <w:p w:rsidR="00244AA8" w:rsidRPr="00244AA8" w:rsidRDefault="00244AA8" w:rsidP="004037BF">
      <w:pPr>
        <w:spacing w:before="120"/>
        <w:outlineLvl w:val="1"/>
        <w:rPr>
          <w:rFonts w:ascii="Arial Narrow" w:hAnsi="Arial Narrow"/>
          <w:b/>
          <w:bCs/>
          <w:sz w:val="22"/>
          <w:szCs w:val="22"/>
          <w:lang w:eastAsia="fr-FR"/>
        </w:rPr>
      </w:pPr>
      <w:r w:rsidRPr="00244AA8">
        <w:rPr>
          <w:rFonts w:ascii="Arial Narrow" w:hAnsi="Arial Narrow"/>
          <w:b/>
          <w:bCs/>
          <w:sz w:val="22"/>
          <w:szCs w:val="22"/>
          <w:lang w:eastAsia="fr-FR"/>
        </w:rPr>
        <w:t>Contexte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Avant la loi J</w:t>
      </w:r>
      <w:r w:rsidRPr="00244AA8">
        <w:rPr>
          <w:rFonts w:ascii="Arial Narrow" w:hAnsi="Arial Narrow"/>
          <w:sz w:val="22"/>
          <w:szCs w:val="22"/>
          <w:lang w:eastAsia="fr-FR"/>
        </w:rPr>
        <w:t>21</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Actuellement, il y trois juridictions judiciaires de première instance relatives à la sécurité sociale, qui correspondent aux différentes sortes de contentieux engendrés par la matière (v. D. d’Ambra, </w:t>
      </w:r>
      <w:r w:rsidRPr="00244AA8">
        <w:rPr>
          <w:rFonts w:ascii="Arial Narrow" w:hAnsi="Arial Narrow"/>
          <w:i/>
          <w:iCs/>
          <w:sz w:val="22"/>
          <w:szCs w:val="22"/>
          <w:lang w:eastAsia="fr-FR"/>
        </w:rPr>
        <w:t>in Droit et pratique de la procédure civile</w:t>
      </w:r>
      <w:r w:rsidRPr="00244AA8">
        <w:rPr>
          <w:rFonts w:ascii="Arial Narrow" w:hAnsi="Arial Narrow"/>
          <w:sz w:val="22"/>
          <w:szCs w:val="22"/>
          <w:lang w:eastAsia="fr-FR"/>
        </w:rPr>
        <w:t xml:space="preserve">,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 n</w:t>
      </w:r>
      <w:r w:rsidRPr="00244AA8">
        <w:rPr>
          <w:rFonts w:ascii="Arial Narrow" w:hAnsi="Arial Narrow"/>
          <w:sz w:val="22"/>
          <w:szCs w:val="22"/>
          <w:vertAlign w:val="superscript"/>
          <w:lang w:eastAsia="fr-FR"/>
        </w:rPr>
        <w:t>os</w:t>
      </w:r>
      <w:r w:rsidRPr="00244AA8">
        <w:rPr>
          <w:rFonts w:ascii="Arial Narrow" w:hAnsi="Arial Narrow"/>
          <w:sz w:val="22"/>
          <w:szCs w:val="22"/>
          <w:lang w:eastAsia="fr-FR"/>
        </w:rPr>
        <w:t xml:space="preserve"> 336.06 s. ; S. Guinchard, A. </w:t>
      </w:r>
      <w:proofErr w:type="spellStart"/>
      <w:r w:rsidRPr="00244AA8">
        <w:rPr>
          <w:rFonts w:ascii="Arial Narrow" w:hAnsi="Arial Narrow"/>
          <w:sz w:val="22"/>
          <w:szCs w:val="22"/>
          <w:lang w:eastAsia="fr-FR"/>
        </w:rPr>
        <w:t>Varinard</w:t>
      </w:r>
      <w:proofErr w:type="spellEnd"/>
      <w:r w:rsidRPr="00244AA8">
        <w:rPr>
          <w:rFonts w:ascii="Arial Narrow" w:hAnsi="Arial Narrow"/>
          <w:sz w:val="22"/>
          <w:szCs w:val="22"/>
          <w:lang w:eastAsia="fr-FR"/>
        </w:rPr>
        <w:t xml:space="preserve"> et T. </w:t>
      </w:r>
      <w:proofErr w:type="spellStart"/>
      <w:r w:rsidRPr="00244AA8">
        <w:rPr>
          <w:rFonts w:ascii="Arial Narrow" w:hAnsi="Arial Narrow"/>
          <w:sz w:val="22"/>
          <w:szCs w:val="22"/>
          <w:lang w:eastAsia="fr-FR"/>
        </w:rPr>
        <w:t>Debard</w:t>
      </w:r>
      <w:proofErr w:type="spellEnd"/>
      <w:r w:rsidRPr="00244AA8">
        <w:rPr>
          <w:rFonts w:ascii="Arial Narrow" w:hAnsi="Arial Narrow"/>
          <w:sz w:val="22"/>
          <w:szCs w:val="22"/>
          <w:lang w:eastAsia="fr-FR"/>
        </w:rPr>
        <w:t xml:space="preserve">, </w:t>
      </w:r>
      <w:r w:rsidRPr="00244AA8">
        <w:rPr>
          <w:rFonts w:ascii="Arial Narrow" w:hAnsi="Arial Narrow"/>
          <w:i/>
          <w:iCs/>
          <w:sz w:val="22"/>
          <w:szCs w:val="22"/>
          <w:lang w:eastAsia="fr-FR"/>
        </w:rPr>
        <w:t>Institutions juridictionnelles</w:t>
      </w:r>
      <w:r w:rsidRPr="00244AA8">
        <w:rPr>
          <w:rFonts w:ascii="Arial Narrow" w:hAnsi="Arial Narrow"/>
          <w:sz w:val="22"/>
          <w:szCs w:val="22"/>
          <w:lang w:eastAsia="fr-FR"/>
        </w:rPr>
        <w:t>, 14</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éd., Dalloz, coll. « Précis », 2017, n</w:t>
      </w:r>
      <w:r w:rsidRPr="00244AA8">
        <w:rPr>
          <w:rFonts w:ascii="Arial Narrow" w:hAnsi="Arial Narrow"/>
          <w:sz w:val="22"/>
          <w:szCs w:val="22"/>
          <w:vertAlign w:val="superscript"/>
          <w:lang w:eastAsia="fr-FR"/>
        </w:rPr>
        <w:t xml:space="preserve">os </w:t>
      </w:r>
      <w:r w:rsidRPr="00244AA8">
        <w:rPr>
          <w:rFonts w:ascii="Arial Narrow" w:hAnsi="Arial Narrow"/>
          <w:sz w:val="22"/>
          <w:szCs w:val="22"/>
          <w:lang w:eastAsia="fr-FR"/>
        </w:rPr>
        <w:t>553 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Le tribunal des affaires de sécurité sociale (TASS) est compétent pour le contentieux général. Le tribunal du contentieux de l’incapacité (TCI) connaît du contentieux technique. La Cour nationale de l’incapacité et de la tarification de l’assurance des accidents du travail (CNITAAT), qui siège à Amiens, est compétente, en premier et dernier ressort, pour le contentieux de la tarification des accidents du travail. Ces trois juridictions sont échevinées : elles sont présidées par un magistrat, éventuellement – pour les TCI – par une personnalité qualifiée présentant des garanties d’indépendance et d’impartialité et compétente en la matière ; quant aux assesseurs – désignés –, ils représentent, pour les uns, les employeurs et les travailleurs indépendants, pour les autres, les salariés (S. Guinchard, A. </w:t>
      </w:r>
      <w:proofErr w:type="spellStart"/>
      <w:r w:rsidRPr="00244AA8">
        <w:rPr>
          <w:rFonts w:ascii="Arial Narrow" w:hAnsi="Arial Narrow"/>
          <w:sz w:val="22"/>
          <w:szCs w:val="22"/>
          <w:lang w:eastAsia="fr-FR"/>
        </w:rPr>
        <w:t>Varinard</w:t>
      </w:r>
      <w:proofErr w:type="spellEnd"/>
      <w:r w:rsidRPr="00244AA8">
        <w:rPr>
          <w:rFonts w:ascii="Arial Narrow" w:hAnsi="Arial Narrow"/>
          <w:sz w:val="22"/>
          <w:szCs w:val="22"/>
          <w:lang w:eastAsia="fr-FR"/>
        </w:rPr>
        <w:t xml:space="preserve"> et T. </w:t>
      </w:r>
      <w:proofErr w:type="spellStart"/>
      <w:r w:rsidRPr="00244AA8">
        <w:rPr>
          <w:rFonts w:ascii="Arial Narrow" w:hAnsi="Arial Narrow"/>
          <w:sz w:val="22"/>
          <w:szCs w:val="22"/>
          <w:lang w:eastAsia="fr-FR"/>
        </w:rPr>
        <w:t>Debard</w:t>
      </w:r>
      <w:proofErr w:type="spellEnd"/>
      <w:r w:rsidRPr="00244AA8">
        <w:rPr>
          <w:rFonts w:ascii="Arial Narrow" w:hAnsi="Arial Narrow"/>
          <w:sz w:val="22"/>
          <w:szCs w:val="22"/>
          <w:lang w:eastAsia="fr-FR"/>
        </w:rPr>
        <w:t xml:space="preserve">,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 Devant les trois juridictions, les assesseurs appartiennent aux professions agricoles, lorsque le litige intéresse un ressortissant de ces professions et aux professions non agricoles dans le cas contraire (v., respectivement, CSS, art. L. 142-4, al. 2, L. 143-2, al. 8 et L. 143-6).</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Le contentieux de l’admission à l’aide sociale relève aujourd’hui de l’ordre administratif, que ce soit du juge administratif de droit commun ou de juridictions spécialisées, que sont les commissions départementales d’aide sociale (CDAS).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lastRenderedPageBreak/>
        <w:t>L’appel des décisions rendues par le tribunal des affaires de sécurité sociale est porté devant une chambre sociale de la cour d’appel, si l’affaire est supérieure au taux du ressort, soit 4 000 €. En revanche, pour l’appel des décisions du tribunal du contentieux de l’incapacité, la compétence appartient à la CNITAAT (v. CSS, art. L. 143-3). C’est la Commission centrale d’aide sociale (CCAS), siégeant à Paris, qui est la juridiction d’appel des commissions régionales (v. CASF, art. L. 134-2, al.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Elle connaît aussi, en premier et dernier ressort, des recours contre certaines décisions émanant de personnes publiques (v. CASF, art. L. 134-3).</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Loi J21</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La loi J21 a prévu la suppression des trois juridictions de sécurité sociale de première instance, au plus tard au 1</w:t>
      </w:r>
      <w:r w:rsidRPr="00244AA8">
        <w:rPr>
          <w:rFonts w:ascii="Arial Narrow" w:hAnsi="Arial Narrow"/>
          <w:sz w:val="22"/>
          <w:szCs w:val="22"/>
          <w:vertAlign w:val="superscript"/>
          <w:lang w:eastAsia="fr-FR"/>
        </w:rPr>
        <w:t xml:space="preserve">er </w:t>
      </w:r>
      <w:r w:rsidRPr="00244AA8">
        <w:rPr>
          <w:rFonts w:ascii="Arial Narrow" w:hAnsi="Arial Narrow"/>
          <w:sz w:val="22"/>
          <w:szCs w:val="22"/>
          <w:lang w:eastAsia="fr-FR"/>
        </w:rPr>
        <w:t xml:space="preserve">janvier 2019 (v. </w:t>
      </w:r>
      <w:r w:rsidRPr="00244AA8">
        <w:rPr>
          <w:rFonts w:ascii="Arial Narrow" w:hAnsi="Arial Narrow"/>
          <w:i/>
          <w:iCs/>
          <w:sz w:val="22"/>
          <w:szCs w:val="22"/>
          <w:lang w:eastAsia="fr-FR"/>
        </w:rPr>
        <w:t>infra</w:t>
      </w:r>
      <w:r w:rsidRPr="00244AA8">
        <w:rPr>
          <w:rFonts w:ascii="Arial Narrow" w:hAnsi="Arial Narrow"/>
          <w:sz w:val="22"/>
          <w:szCs w:val="22"/>
          <w:lang w:eastAsia="fr-FR"/>
        </w:rPr>
        <w:t xml:space="preserve">). Les tribunaux des affaires de sécurité sociale et les tribunaux du contentieux de l’incapacité seront fusionnés et intégrés dans un pôle social de tribunaux de grande instance spécialement désignés (COJ, art. L. 211-16, issu de la loi J21). La CNITAAT est également supprimée : seule la cour d’appel d’Amiens connaîtra, toujours en premier et dernier ressort, « des litiges mentionnés au 4° de l’article L. 142-2 du code de la sécurité sociale » (COJ, art. L. 311-16 et D. 311-12, issus du </w:t>
      </w:r>
      <w:proofErr w:type="spellStart"/>
      <w:r w:rsidRPr="00244AA8">
        <w:rPr>
          <w:rFonts w:ascii="Arial Narrow" w:hAnsi="Arial Narrow"/>
          <w:sz w:val="22"/>
          <w:szCs w:val="22"/>
          <w:lang w:eastAsia="fr-FR"/>
        </w:rPr>
        <w:t>décr</w:t>
      </w:r>
      <w:proofErr w:type="spellEnd"/>
      <w:r w:rsidRPr="00244AA8">
        <w:rPr>
          <w:rFonts w:ascii="Arial Narrow" w:hAnsi="Arial Narrow"/>
          <w:sz w:val="22"/>
          <w:szCs w:val="22"/>
          <w:lang w:eastAsia="fr-FR"/>
        </w:rPr>
        <w:t xml:space="preserve">. </w:t>
      </w:r>
      <w:proofErr w:type="gramStart"/>
      <w:r w:rsidRPr="00244AA8">
        <w:rPr>
          <w:rFonts w:ascii="Arial Narrow" w:hAnsi="Arial Narrow"/>
          <w:sz w:val="22"/>
          <w:szCs w:val="22"/>
          <w:lang w:eastAsia="fr-FR"/>
        </w:rPr>
        <w:t>n</w:t>
      </w:r>
      <w:proofErr w:type="gramEnd"/>
      <w:r w:rsidRPr="00244AA8">
        <w:rPr>
          <w:rFonts w:ascii="Arial Narrow" w:hAnsi="Arial Narrow"/>
          <w:sz w:val="22"/>
          <w:szCs w:val="22"/>
          <w:lang w:eastAsia="fr-FR"/>
        </w:rPr>
        <w:t>° 2017-13, 5 janv. 2017). Par ailleurs les CDAS disparaissent aussi au profit des TGI spécialisés (CSS, art. L. 134-1 s) ou des juridictions administratives de droit commun.</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Les TGI spécialisés seront donc compétents pour traiter du contentieux général de la sécurité sociale (CASF, art. L. 142-1, </w:t>
      </w:r>
      <w:proofErr w:type="spellStart"/>
      <w:r w:rsidRPr="00244AA8">
        <w:rPr>
          <w:rFonts w:ascii="Arial Narrow" w:hAnsi="Arial Narrow"/>
          <w:sz w:val="22"/>
          <w:szCs w:val="22"/>
          <w:lang w:eastAsia="fr-FR"/>
        </w:rPr>
        <w:t>nouv</w:t>
      </w:r>
      <w:proofErr w:type="spellEnd"/>
      <w:r w:rsidRPr="00244AA8">
        <w:rPr>
          <w:rFonts w:ascii="Arial Narrow" w:hAnsi="Arial Narrow"/>
          <w:sz w:val="22"/>
          <w:szCs w:val="22"/>
          <w:lang w:eastAsia="fr-FR"/>
        </w:rPr>
        <w:t xml:space="preserve">.), du contentieux technique (CSS, art. L. 142-2, </w:t>
      </w:r>
      <w:proofErr w:type="spellStart"/>
      <w:r w:rsidRPr="00244AA8">
        <w:rPr>
          <w:rFonts w:ascii="Arial Narrow" w:hAnsi="Arial Narrow"/>
          <w:sz w:val="22"/>
          <w:szCs w:val="22"/>
          <w:lang w:eastAsia="fr-FR"/>
        </w:rPr>
        <w:t>nouv</w:t>
      </w:r>
      <w:proofErr w:type="spellEnd"/>
      <w:r w:rsidRPr="00244AA8">
        <w:rPr>
          <w:rFonts w:ascii="Arial Narrow" w:hAnsi="Arial Narrow"/>
          <w:sz w:val="22"/>
          <w:szCs w:val="22"/>
          <w:lang w:eastAsia="fr-FR"/>
        </w:rPr>
        <w:t xml:space="preserve">.) – à l’exclusion de la tarification des accidents du travail – et d’une partie du contentieux de l’admission à l’aide sociale (visée aux COJ, art. </w:t>
      </w:r>
      <w:r w:rsidRPr="00244AA8">
        <w:rPr>
          <w:rFonts w:ascii="Arial Narrow" w:hAnsi="Arial Narrow"/>
          <w:sz w:val="22"/>
          <w:szCs w:val="22"/>
          <w:lang w:val="en-US" w:eastAsia="fr-FR"/>
        </w:rPr>
        <w:t xml:space="preserve">L. 211-16, 3°, CASF, art. L. 134-3, CSS, art. L. 142-3, L. 861-5 et L. 863-3). </w:t>
      </w:r>
      <w:r w:rsidRPr="00244AA8">
        <w:rPr>
          <w:rFonts w:ascii="Arial Narrow" w:hAnsi="Arial Narrow"/>
          <w:sz w:val="22"/>
          <w:szCs w:val="22"/>
          <w:lang w:eastAsia="fr-FR"/>
        </w:rPr>
        <w:t>Les trois contentieux sont attribués au « juge judiciaire » par l’article L. 142-8, créé, du code de la sécurité sociale. Le nouvel article L. 211-16 du code de l’organisation judiciaire, lui, les confie à « des tribunaux de grande instance spécialement désignés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Seules des cours d’appel désignées connaîtront du contentieux général de la sécurité sociale et de l’aide sociale relevant du juge judiciaire (v. COJ, art. L. 311-15 ; il faut réserver la part de contentieux dévolue aux juridictions administratives et dont l’appel est porté devant les cours administratives d’appel) ; en effet, d’une part, ce ne seront plus toutes les cours d’appel qui seront aptes à statuer en la matière, d’autre part, la CCAS sera supprimée, enfin la CNITAAT disparaîtra en tant que juridiction d’appel du contentieux technique.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Les tribunaux de grande instance seront échevinés (COJ, art. L. 218-1 s.) : comme les juridictions de la sécurité sociale, ils seront composés d’un magistrat et deux assesseurs – le cas échéant relevant du régime agricole. Cependant la loi J21 « redéfinit le statut des assesseurs en rehaussant les exigences de la fonction » (A. </w:t>
      </w:r>
      <w:proofErr w:type="spellStart"/>
      <w:r w:rsidRPr="00244AA8">
        <w:rPr>
          <w:rFonts w:ascii="Arial Narrow" w:hAnsi="Arial Narrow"/>
          <w:sz w:val="22"/>
          <w:szCs w:val="22"/>
          <w:lang w:eastAsia="fr-FR"/>
        </w:rPr>
        <w:t>Bugada</w:t>
      </w:r>
      <w:proofErr w:type="spellEnd"/>
      <w:r w:rsidRPr="00244AA8">
        <w:rPr>
          <w:rFonts w:ascii="Arial Narrow" w:hAnsi="Arial Narrow"/>
          <w:sz w:val="22"/>
          <w:szCs w:val="22"/>
          <w:lang w:eastAsia="fr-FR"/>
        </w:rPr>
        <w:t xml:space="preserve">, étude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 n° 3 ; v. art. L. 218-3 s.). La cour d’appel d’Amiens compétente en matière de tarification des accidents du travail sera également échevinée (COJ, art. L. 312-6-2) ; mais les cours d’appel désignées statueront en formation ordinaire.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L’article 12 de la loi J21 traite de la procédure devant le tribunal de grande instance. Ainsi, la représentation par avocat ne sera pas obligatoire, comme aujourd’hui devant les juridictions de sécurité sociale (CSS, art. L. 142-9. Le texte reprend l’article L. 144-3 qui s’applique aujourd’hui devant les TASS et les TCI, en ajoutant seulement une précision au 5°). Le recours préalable obligatoire – qui sera traité par la suite – sera étendu : la saisine de la commission de recours amiable, qui existait pour le contentieux général, sera créée pour le contentieux technique (on peut douter que ce soit une bonne chose… mais c’est à la mode) ; le contentieux de la tarification de l’assurance des accidents du travail ne sera pas en revanche concerné par cette extension (CSS, art. L. 142-4 à 7 et CASF, art. L. 134-2). La loi J21 contient aussi des dispositions sur l’expertise judiciaire (CSS, art. L. 142-10 ; v. </w:t>
      </w:r>
      <w:r w:rsidRPr="00244AA8">
        <w:rPr>
          <w:rFonts w:ascii="Arial Narrow" w:hAnsi="Arial Narrow"/>
          <w:i/>
          <w:iCs/>
          <w:sz w:val="22"/>
          <w:szCs w:val="22"/>
          <w:lang w:eastAsia="fr-FR"/>
        </w:rPr>
        <w:t>infra</w:t>
      </w:r>
      <w:r w:rsidRPr="00244AA8">
        <w:rPr>
          <w:rFonts w:ascii="Arial Narrow" w:hAnsi="Arial Narrow"/>
          <w:sz w:val="22"/>
          <w:szCs w:val="22"/>
          <w:lang w:eastAsia="fr-FR"/>
        </w:rPr>
        <w: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Par l’ordonnance sous commentaire, le gouvernement entreprend ainsi d’assurer la mise en œuvre et de tirer les conséquences d’un tel remaniement de l’organisation juridictionnelle.</w:t>
      </w:r>
    </w:p>
    <w:p w:rsidR="00244AA8" w:rsidRPr="00244AA8" w:rsidRDefault="00244AA8" w:rsidP="004037BF">
      <w:pPr>
        <w:spacing w:before="120"/>
        <w:outlineLvl w:val="1"/>
        <w:rPr>
          <w:rFonts w:ascii="Arial Narrow" w:hAnsi="Arial Narrow"/>
          <w:b/>
          <w:bCs/>
          <w:sz w:val="22"/>
          <w:szCs w:val="22"/>
          <w:lang w:eastAsia="fr-FR"/>
        </w:rPr>
      </w:pPr>
      <w:r w:rsidRPr="00244AA8">
        <w:rPr>
          <w:rFonts w:ascii="Arial Narrow" w:hAnsi="Arial Narrow"/>
          <w:b/>
          <w:bCs/>
          <w:sz w:val="22"/>
          <w:szCs w:val="22"/>
          <w:lang w:eastAsia="fr-FR"/>
        </w:rPr>
        <w:t>Mise en œuvre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Il résulte de l’article 109, I, de la loi J21 que la mise en œuvre concrète de la réforme est opérée par ordonnances. Il prévoit ainsi que, « dans les conditions prévues à l’article 38 de la Constitution, le gouvernement est autorisé à prendre par ordonnances les mesures relevant du domaine de la loi : 1° Nécessaires pour mettre en œuvre l’article 12 de la présente loi : a) En créant, aménageant ou modifiant toutes dispositions de nature législative dans les textes et codes en vigueur permettant d’assurer la mise en œuvre et de tirer les conséquences de la suppression des tribunaux des affaires de sécurité sociale, des tribunaux du contentieux de l’incapacité, de la Cour nationale de l’incapacité et de la tarification de l’assurance des accidents du travail, des </w:t>
      </w:r>
      <w:r w:rsidRPr="00244AA8">
        <w:rPr>
          <w:rFonts w:ascii="Arial Narrow" w:hAnsi="Arial Narrow"/>
          <w:sz w:val="22"/>
          <w:szCs w:val="22"/>
          <w:lang w:eastAsia="fr-FR"/>
        </w:rPr>
        <w:lastRenderedPageBreak/>
        <w:t>commissions départementales d’aide sociale et de la Commission centrale d’aide sociale ». Selon, l’article 109, II, les ordonnances prévues au I devaient être prises dans un délai de dix-huit mois à compter de la promulgation de la loi, soit avant le 18 mai 2018. Deux jours avant la date limite, l’ordonnance appelée par le a) est donc prise. Une ordonnance n° 2018-359 du 16 mai 2018 fixant les modalités de transfert des personnels administratifs des juridictions mentionnées au 1° du I de l’article 109 de la loi n° 2016-1547 du 18 novembre 2016 de modernisation de la justice du 21</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siècle et celles de leur accès aux corps des services judiciaires ou aux corps communs du ministère de la justice « s’occupe », elle, du b).</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Modification de références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Il faut bien admettre que le texte est plutôt aride, puisque plusieurs de ses articles prévoient que « les mots : “les tribunaux des affaires de sécurité sociale” sont remplacés par les mots : “les tribunaux de grande instance spécialement désignés en application de l’article L. 211-16 du code de l’organisation judiciaire” » et autres replacements du même type et équivalent pour le TCI, la CNITAAT, la CCAS, etc., dans divers codes.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Par ailleurs, l’ordonnance effectue des modifications qui concernent la loi J21 et les dispositions qui en sont issues, donc encore inappliquées. Il est vrai qu’il n’est pas rare de voir le législateur (au sens large) revoir sa copie avant même l’entrée en vigueur des textes : ainsi, selon le Rapport au président de la République relatif à l’ordonnance, « l’article 4 rectifie des dispositions du code de l’organisation judiciaire issues de la loi du 18 novembre 2016 précitée en revenant sur des rédactions qui nécessitaient d’être précisées. Est ainsi abrogé l’article L. 218-9 du code de l’organisation judiciaire prévoyant que l’assesseur dûment convoqué qui ne se présente pas est réputé démissionnaire. En effet, celui-ci relève de la procédure disciplinaire de droit commun. Une référence erronée au “tribunal des affaires sociales” est également supprimée [à l’article L. 218-10]. Enfin, le processus de désignation des assesseurs de la cour d’appel spécialement désignée pour connaître du contentieux de la tarification est clarifié. Il précise à ce titre que les assesseurs qui y siégeront seront choisis sur les mêmes listes que les assesseurs des pôles sociaux des tribunaux de grande instance du ressort de ladite cour ». Le second alinéa de l’article L. 312-6-2, qui renvoyait à l’article L. 218-2 à 12, est remplacé à cet effet.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Recours préalable obligatoire : précision des exceptions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L’ordonnance n° 2018-358 du 16 mai 2018 précise, par ailleurs, les exceptions au principe caractère obligatoire du recours préalable, tel que prévu à la section 2 du chapitre II du titre IV du livre II du code de la sécurité sociale (art. L 142-4 et L 142-5) et découlant de la loi J21. L’ordonnance introduit ainsi un dernier alinéa à l’article L. 142-4, qui reprend au titre de ces exceptions les décisions prises au niveau des caisses relatives à des sanctions administratives prévues aux articles L. 114-17, L. 114-17-1, L. 162-12-16 et L. 162-34 (domaines en développement au cours des dernières années), lesquelles exceptions figurent déjà à l’actuel article R. 142-7.</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Reste maintenant à savoir si les exceptions au caractère obligatoire du recours préalable qui ont été définies par la jurisprudence seront maintenues dans la mesure où le principe du recours préalable obligatoire est posé dans des termes différents par les articles L. 142-4 et L. 142-5, à savoir qu’il n’est plus question de réclamations formées contre les décisions des caisses (actuel art. R. 142-1) mais de recours formés dans les matières, ce qui apparaît plus large.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Expertises médicales : précisions et clarifications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L’ordonnance précise également le régime des expertises médicales ordonnées par le juge du contentieux de la sécurité sociale.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Leur bon déroulement peut se heurter au secret professionnel, plus précisément le secret médical auquel est tenu le praticien-conseil du service médical rattaché à l’organisme social, dont la violation est sanctionnée par les dispositions de l’article 226-13 du code pénal. En effet, le praticien-conseil peut faire plus ou moins barrage à la transmission des éléments médicaux dont il dispose par crainte de poursuites pénales, ce malgré la position de la Cour de cassation (v. en ce sens </w:t>
      </w:r>
      <w:proofErr w:type="spellStart"/>
      <w:r w:rsidRPr="00244AA8">
        <w:rPr>
          <w:rFonts w:ascii="Arial Narrow" w:hAnsi="Arial Narrow"/>
          <w:sz w:val="22"/>
          <w:szCs w:val="22"/>
          <w:lang w:eastAsia="fr-FR"/>
        </w:rPr>
        <w:t>Civ</w:t>
      </w:r>
      <w:proofErr w:type="spellEnd"/>
      <w:r w:rsidRPr="00244AA8">
        <w:rPr>
          <w:rFonts w:ascii="Arial Narrow" w:hAnsi="Arial Narrow"/>
          <w:sz w:val="22"/>
          <w:szCs w:val="22"/>
          <w:lang w:eastAsia="fr-FR"/>
        </w:rPr>
        <w:t>. 2</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22 nov. 2007, n° 06-18.250, D. 2008. 95 </w:t>
      </w:r>
      <w:r w:rsidRPr="00244AA8">
        <w:rPr>
          <w:rFonts w:ascii="Arial Narrow" w:hAnsi="Arial Narrow"/>
          <w:noProof/>
          <w:color w:val="0000FF"/>
          <w:sz w:val="22"/>
          <w:szCs w:val="22"/>
          <w:lang w:eastAsia="fr-FR"/>
        </w:rPr>
        <w:drawing>
          <wp:inline distT="0" distB="0" distL="0" distR="0" wp14:anchorId="5BCC784C" wp14:editId="0C512644">
            <wp:extent cx="114300" cy="123825"/>
            <wp:effectExtent l="0" t="0" r="0" b="9525"/>
            <wp:docPr id="27" name="Image 27" descr="https://www.dalloz-actualite.fr/sites/all/themes/dallozactu/icons/type_dalloz_fr_link.png">
              <a:hlinkClick xmlns:a="http://schemas.openxmlformats.org/drawingml/2006/main" r:id="rId15"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alloz-actualite.fr/sites/all/themes/dallozactu/icons/type_dalloz_fr_link.png">
                      <a:hlinkClick r:id="rId15"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44AA8">
        <w:rPr>
          <w:rFonts w:ascii="Arial Narrow" w:hAnsi="Arial Narrow"/>
          <w:sz w:val="22"/>
          <w:szCs w:val="22"/>
          <w:lang w:eastAsia="fr-FR"/>
        </w:rPr>
        <w:t xml:space="preserve">; </w:t>
      </w:r>
      <w:r w:rsidRPr="00244AA8">
        <w:rPr>
          <w:rFonts w:ascii="Arial Narrow" w:hAnsi="Arial Narrow"/>
          <w:i/>
          <w:iCs/>
          <w:sz w:val="22"/>
          <w:szCs w:val="22"/>
          <w:lang w:eastAsia="fr-FR"/>
        </w:rPr>
        <w:t>ibid</w:t>
      </w:r>
      <w:r w:rsidRPr="00244AA8">
        <w:rPr>
          <w:rFonts w:ascii="Arial Narrow" w:hAnsi="Arial Narrow"/>
          <w:sz w:val="22"/>
          <w:szCs w:val="22"/>
          <w:lang w:eastAsia="fr-FR"/>
        </w:rPr>
        <w:t xml:space="preserve">. 506, obs. J. </w:t>
      </w:r>
      <w:proofErr w:type="spellStart"/>
      <w:r w:rsidRPr="00244AA8">
        <w:rPr>
          <w:rFonts w:ascii="Arial Narrow" w:hAnsi="Arial Narrow"/>
          <w:sz w:val="22"/>
          <w:szCs w:val="22"/>
          <w:lang w:eastAsia="fr-FR"/>
        </w:rPr>
        <w:t>Penneau</w:t>
      </w:r>
      <w:proofErr w:type="spellEnd"/>
      <w:r w:rsidRPr="00244AA8">
        <w:rPr>
          <w:rFonts w:ascii="Arial Narrow" w:hAnsi="Arial Narrow"/>
          <w:sz w:val="22"/>
          <w:szCs w:val="22"/>
          <w:lang w:eastAsia="fr-FR"/>
        </w:rPr>
        <w:t xml:space="preserve"> </w:t>
      </w:r>
      <w:r w:rsidRPr="00244AA8">
        <w:rPr>
          <w:rFonts w:ascii="Arial Narrow" w:hAnsi="Arial Narrow"/>
          <w:noProof/>
          <w:color w:val="0000FF"/>
          <w:sz w:val="22"/>
          <w:szCs w:val="22"/>
          <w:lang w:eastAsia="fr-FR"/>
        </w:rPr>
        <w:drawing>
          <wp:inline distT="0" distB="0" distL="0" distR="0" wp14:anchorId="4E2FF584" wp14:editId="77A22B33">
            <wp:extent cx="114300" cy="123825"/>
            <wp:effectExtent l="0" t="0" r="0" b="9525"/>
            <wp:docPr id="28" name="Image 28" descr="https://www.dalloz-actualite.fr/sites/all/themes/dallozactu/icons/type_dalloz_fr_link.png">
              <a:hlinkClick xmlns:a="http://schemas.openxmlformats.org/drawingml/2006/main" r:id="rId17"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alloz-actualite.fr/sites/all/themes/dallozactu/icons/type_dalloz_fr_link.png">
                      <a:hlinkClick r:id="rId17"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44AA8">
        <w:rPr>
          <w:rFonts w:ascii="Arial Narrow" w:hAnsi="Arial Narrow"/>
          <w:sz w:val="22"/>
          <w:szCs w:val="22"/>
          <w:lang w:eastAsia="fr-FR"/>
        </w:rPr>
        <w:t xml:space="preserve">; Dr. soc. 2008. 260, obs. J. </w:t>
      </w:r>
      <w:proofErr w:type="spellStart"/>
      <w:r w:rsidRPr="00244AA8">
        <w:rPr>
          <w:rFonts w:ascii="Arial Narrow" w:hAnsi="Arial Narrow"/>
          <w:sz w:val="22"/>
          <w:szCs w:val="22"/>
          <w:lang w:eastAsia="fr-FR"/>
        </w:rPr>
        <w:t>Savatier</w:t>
      </w:r>
      <w:proofErr w:type="spellEnd"/>
      <w:r w:rsidRPr="00244AA8">
        <w:rPr>
          <w:rFonts w:ascii="Arial Narrow" w:hAnsi="Arial Narrow"/>
          <w:sz w:val="22"/>
          <w:szCs w:val="22"/>
          <w:lang w:eastAsia="fr-FR"/>
        </w:rPr>
        <w:t xml:space="preserve"> </w:t>
      </w:r>
      <w:r w:rsidRPr="00244AA8">
        <w:rPr>
          <w:rFonts w:ascii="Arial Narrow" w:hAnsi="Arial Narrow"/>
          <w:noProof/>
          <w:color w:val="0000FF"/>
          <w:sz w:val="22"/>
          <w:szCs w:val="22"/>
          <w:lang w:eastAsia="fr-FR"/>
        </w:rPr>
        <w:drawing>
          <wp:inline distT="0" distB="0" distL="0" distR="0" wp14:anchorId="20EAB71A" wp14:editId="146EF717">
            <wp:extent cx="114300" cy="123825"/>
            <wp:effectExtent l="0" t="0" r="0" b="9525"/>
            <wp:docPr id="29" name="Image 29" descr="https://www.dalloz-actualite.fr/sites/all/themes/dallozactu/icons/type_dalloz_fr_link.png">
              <a:hlinkClick xmlns:a="http://schemas.openxmlformats.org/drawingml/2006/main" r:id="rId18"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alloz-actualite.fr/sites/all/themes/dallozactu/icons/type_dalloz_fr_link.png">
                      <a:hlinkClick r:id="rId18"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244AA8">
        <w:rPr>
          <w:rFonts w:ascii="Arial Narrow" w:hAnsi="Arial Narrow"/>
          <w:sz w:val="22"/>
          <w:szCs w:val="22"/>
          <w:lang w:eastAsia="fr-FR"/>
        </w:rPr>
        <w: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L’ordonnance n° 2018-358 vient clarifier la situation par des modifications apportées au code de la sécurité sociale, y compris dans sa version qui était censée s’appliquer avec la loi J21, avec l’abrogation de l’article L. 141-2-2 introduit par la loi n° 2016-41 du 26 janvier 2016 et le remplacement de l’alinéa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de l’article L. 142-10 prévu par la loi J21, par deux nouveaux aliénas. Cet article L. 142-10 est le premier de la section 5 dont l’intitulé a </w:t>
      </w:r>
      <w:r w:rsidRPr="00244AA8">
        <w:rPr>
          <w:rFonts w:ascii="Arial Narrow" w:hAnsi="Arial Narrow"/>
          <w:sz w:val="22"/>
          <w:szCs w:val="22"/>
          <w:lang w:eastAsia="fr-FR"/>
        </w:rPr>
        <w:lastRenderedPageBreak/>
        <w:t xml:space="preserve">été élargi en « Mesures </w:t>
      </w:r>
      <w:proofErr w:type="gramStart"/>
      <w:r w:rsidRPr="00244AA8">
        <w:rPr>
          <w:rFonts w:ascii="Arial Narrow" w:hAnsi="Arial Narrow"/>
          <w:sz w:val="22"/>
          <w:szCs w:val="22"/>
          <w:lang w:eastAsia="fr-FR"/>
        </w:rPr>
        <w:t>d’instruction  »</w:t>
      </w:r>
      <w:proofErr w:type="gramEnd"/>
      <w:r w:rsidRPr="00244AA8">
        <w:rPr>
          <w:rFonts w:ascii="Arial Narrow" w:hAnsi="Arial Narrow"/>
          <w:sz w:val="22"/>
          <w:szCs w:val="22"/>
          <w:lang w:eastAsia="fr-FR"/>
        </w:rPr>
        <w:t>. Il vient davantage rapprocher l’expertise ordonnée au titre du contentieux général de celle du contentieux technique.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Cette clarification relative aux limites du secret professionnel devrait conduire le praticien-conseil, qui pouvait encore s’opposer à la communication d’éléments médicaux à l’expert désigné, à lever son refus. Précisons que les difficultés observées se concentrent essentiellement dans les contentieux où le litige concerne un employeur, qui conteste en tout ou en partie une décision de prise en charge par la caisse de sécurité sociale d’un accident du travail ou d’une maladie professionnelle, sans que la victime (son salarié ou ancien salarié) soit partie à la procédure, les refus de communication ayant pour conséquence l’inopposabilité de la décision de la caisse (v. en ce sens </w:t>
      </w:r>
      <w:proofErr w:type="spellStart"/>
      <w:r w:rsidRPr="00244AA8">
        <w:rPr>
          <w:rFonts w:ascii="Arial Narrow" w:hAnsi="Arial Narrow"/>
          <w:sz w:val="22"/>
          <w:szCs w:val="22"/>
          <w:lang w:eastAsia="fr-FR"/>
        </w:rPr>
        <w:t>Civ</w:t>
      </w:r>
      <w:proofErr w:type="spellEnd"/>
      <w:r w:rsidRPr="00244AA8">
        <w:rPr>
          <w:rFonts w:ascii="Arial Narrow" w:hAnsi="Arial Narrow"/>
          <w:sz w:val="22"/>
          <w:szCs w:val="22"/>
          <w:lang w:eastAsia="fr-FR"/>
        </w:rPr>
        <w:t>. 2</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9 mars 2017, n° 16-50.009, Dalloz jurisprudence). Ces hypothèses contentieuses sont courantes et s’expliquent par l’indépendance des rapports caisse/assuré et caisse/employeur, car la décision de prise en charge de l’organisme social demeure en tout état de cause acquise au profit de la victime (effet protecteur de la législation professionnelle).</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Désormais, le nouvel article L. 142-10 prévoit qu’il ne pourra pas être opposé au praticien-conseil les dispositions de l’article 226-13 du code pénal lorsqu’il communiquera « l’intégralité du rapport médical », cette transmission permettant la levée du secret médical est énoncée comme une obligation législative faite à ce professionnel (« transmet »), outre la décision qu’avait pu prendre le juge en ce sens. Quant au rapport médical établi par le praticien-conseil, il implique de sa part une synthèse spécifique et complète de la situation médicale de l’assuré, correspondant à la prise en charge médicale qui est en débat. Ce rapport ne saurait être confondu avec la fiche du colloque médico-administratif ou encore les fiches de liaison utilisées entre le service du contrôle médical et les services administratifs de la caisse, lors de l’instruction d’un dossier ou pour le traitement de certaines prescriptions médicales.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Toujours selon le nouveau texte, le rapport médical du praticien-conseil pourra être notifié au médecin mandaté par l’employeur qui en fait la demande, avec dans ce cas une information obligatoire de cette notification auprès de la victime de l’accident du travail ou de la maladie professionnelle. Rappelons qu’une telle information existe actuellement dans le contentieux technique de l’incapacité (CSS, art. R 143-32).</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Par ailleurs, l’ordonnance n° 2018-358 prévoit, avec l’ajout du nouvel article L. 142-10-1 au code de la sécurité sociale, que le rapport de l’expert judiciaire est notifié au médecin mandaté à cet effet par l’employeur d’un salarié victime d’un accident du travail ou d’une maladie professionnelle, s’il est </w:t>
      </w:r>
      <w:proofErr w:type="gramStart"/>
      <w:r w:rsidRPr="00244AA8">
        <w:rPr>
          <w:rFonts w:ascii="Arial Narrow" w:hAnsi="Arial Narrow"/>
          <w:sz w:val="22"/>
          <w:szCs w:val="22"/>
          <w:lang w:eastAsia="fr-FR"/>
        </w:rPr>
        <w:t>partie</w:t>
      </w:r>
      <w:proofErr w:type="gramEnd"/>
      <w:r w:rsidRPr="00244AA8">
        <w:rPr>
          <w:rFonts w:ascii="Arial Narrow" w:hAnsi="Arial Narrow"/>
          <w:sz w:val="22"/>
          <w:szCs w:val="22"/>
          <w:lang w:eastAsia="fr-FR"/>
        </w:rPr>
        <w:t xml:space="preserve"> à l’instance. Dans cette hypothèse, l’article 226-13 du code pénal ne pourra pas davantage être opposé en raison de la transmission du rapport de l’expert judiciaire, susceptible de contenir des informations relevant du secret professionnel. La qualité de partie à l’instance de l’employeur peut être envisagée </w:t>
      </w:r>
      <w:proofErr w:type="gramStart"/>
      <w:r w:rsidRPr="00244AA8">
        <w:rPr>
          <w:rFonts w:ascii="Arial Narrow" w:hAnsi="Arial Narrow"/>
          <w:i/>
          <w:iCs/>
          <w:sz w:val="22"/>
          <w:szCs w:val="22"/>
          <w:lang w:eastAsia="fr-FR"/>
        </w:rPr>
        <w:t>a</w:t>
      </w:r>
      <w:proofErr w:type="gramEnd"/>
      <w:r w:rsidRPr="00244AA8">
        <w:rPr>
          <w:rFonts w:ascii="Arial Narrow" w:hAnsi="Arial Narrow"/>
          <w:i/>
          <w:iCs/>
          <w:sz w:val="22"/>
          <w:szCs w:val="22"/>
          <w:lang w:eastAsia="fr-FR"/>
        </w:rPr>
        <w:t xml:space="preserve"> minima</w:t>
      </w:r>
      <w:r w:rsidRPr="00244AA8">
        <w:rPr>
          <w:rFonts w:ascii="Arial Narrow" w:hAnsi="Arial Narrow"/>
          <w:sz w:val="22"/>
          <w:szCs w:val="22"/>
          <w:lang w:eastAsia="fr-FR"/>
        </w:rPr>
        <w:t>, à savoir correspondre à une intervention volontaire destinée à préserver ses droits, dans l’hypothèse par exemple d’une action introduite par la victime du risque professionnel aux fins d’obtenir une prise en charge ou d’en améliorer les conditions auprès de la caisse. Tout ceci permet de concilier les exigences du procès équitable et la confidentialité des données médicales personnelles.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Aménagement de la transition</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On relèvera également que l’article 7, en son I, modifie l’article 114 de la loi du 18 novembre 2016. Cet article organisait l’entrée en vigueur de la réforme, posant en principe que « l’article 12 entre en vigueur à une date fixée par décret, et au plus tard le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janvier 2019 » et prévoyant qu’à cette date, les procédures en cours devant les juridictions aujourd’hui compétentes devaient toutes être transférées en l’état aux juridictions tant judiciaires qu’administratives qui traiteront demain des divers contentieux sociaux. L’article 114, revu par l’ordonnance, organise autrement le transfert, avec « des mesures permettant que la transition se fasse sans préjudice ni pour les justiciables dont les affaires sont déjà pendantes ni pour les juridictions qui vont devoir traiter ce contentieux » (Rapport) : désormais,</w:t>
      </w:r>
    </w:p>
    <w:p w:rsidR="00244AA8" w:rsidRPr="00244AA8" w:rsidRDefault="00244AA8" w:rsidP="00244AA8">
      <w:pPr>
        <w:numPr>
          <w:ilvl w:val="0"/>
          <w:numId w:val="25"/>
        </w:numPr>
        <w:spacing w:before="120"/>
        <w:rPr>
          <w:rFonts w:ascii="Arial Narrow" w:hAnsi="Arial Narrow"/>
          <w:sz w:val="22"/>
          <w:szCs w:val="22"/>
          <w:lang w:eastAsia="fr-FR"/>
        </w:rPr>
      </w:pPr>
      <w:proofErr w:type="gramStart"/>
      <w:r w:rsidRPr="00244AA8">
        <w:rPr>
          <w:rFonts w:ascii="Arial Narrow" w:hAnsi="Arial Narrow"/>
          <w:sz w:val="22"/>
          <w:szCs w:val="22"/>
          <w:lang w:eastAsia="fr-FR"/>
        </w:rPr>
        <w:t>un</w:t>
      </w:r>
      <w:proofErr w:type="gramEnd"/>
      <w:r w:rsidRPr="00244AA8">
        <w:rPr>
          <w:rFonts w:ascii="Arial Narrow" w:hAnsi="Arial Narrow"/>
          <w:sz w:val="22"/>
          <w:szCs w:val="22"/>
          <w:lang w:eastAsia="fr-FR"/>
        </w:rPr>
        <w:t xml:space="preserve"> décret en Conseil d’État devra désigner une « juridiction administrative » et non plus des « tribunaux administratifs » ou des « cours administratives d’appel » et pour reprendre le stock de deux contentieux d’aide sociale : « d’une part, les contentieux relatifs à la détermination du domicile de secours et, d’autre part, une partie des appels interjetés contre les décisions prises par les commissions départementales d’aide sociale » (Rapport) ;</w:t>
      </w:r>
      <w:r w:rsidRPr="00244AA8">
        <w:rPr>
          <w:rFonts w:ascii="Arial Narrow" w:hAnsi="Arial Narrow"/>
          <w:sz w:val="22"/>
          <w:szCs w:val="22"/>
          <w:lang w:eastAsia="fr-FR"/>
        </w:rPr>
        <w:br/>
        <w:t> </w:t>
      </w:r>
    </w:p>
    <w:p w:rsidR="00244AA8" w:rsidRPr="00244AA8" w:rsidRDefault="00244AA8" w:rsidP="00244AA8">
      <w:pPr>
        <w:numPr>
          <w:ilvl w:val="0"/>
          <w:numId w:val="25"/>
        </w:numPr>
        <w:spacing w:before="120"/>
        <w:rPr>
          <w:rFonts w:ascii="Arial Narrow" w:hAnsi="Arial Narrow"/>
          <w:sz w:val="22"/>
          <w:szCs w:val="22"/>
          <w:lang w:eastAsia="fr-FR"/>
        </w:rPr>
      </w:pPr>
      <w:proofErr w:type="gramStart"/>
      <w:r w:rsidRPr="00244AA8">
        <w:rPr>
          <w:rFonts w:ascii="Arial Narrow" w:hAnsi="Arial Narrow"/>
          <w:sz w:val="22"/>
          <w:szCs w:val="22"/>
          <w:lang w:eastAsia="fr-FR"/>
        </w:rPr>
        <w:lastRenderedPageBreak/>
        <w:t>il</w:t>
      </w:r>
      <w:proofErr w:type="gramEnd"/>
      <w:r w:rsidRPr="00244AA8">
        <w:rPr>
          <w:rFonts w:ascii="Arial Narrow" w:hAnsi="Arial Narrow"/>
          <w:sz w:val="22"/>
          <w:szCs w:val="22"/>
          <w:lang w:eastAsia="fr-FR"/>
        </w:rPr>
        <w:t xml:space="preserve"> n’est plus prévu que les procédures en cours devant la CNITTAT sont transférées aux cours d’appel compétentes. En effet, la CNITAAT est maintenue temporairement pour connaître des affaires dont elle est saisie avant le 31 décembre 2018, ceci jusqu’au 31 décembre 2020 ou à une date ultérieure qui sera fixée par décret, sans pouvoir dépasser le 31 décembre 2022 au plus tard. « Ce ne sont donc que des affaires nouvelles qu’auront à connaître les cours d’appel nouvellement compétentes » (Rapport).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Afin d’éviter « de devoir procéder à la nomination en urgence de l’intégralité des assesseurs dans le courant du dernier trimestre 2018, avec le risque, en cas de difficultés, de retarder la mise en place des pôles sociaux dans les tribunaux de grande instance » (Rapport), l’article 7, II, prévoit que, par dérogation aux dispositions de l’article L. 218-3 du code de l’organisation judiciaire, les assesseurs des TASS et TCI, dont le mandat n’est pas arrivé à terme au 31 décembre 2018, siègent, à la demande du premier président de la cour d’appel et avec leur accord, dans la formation collégiale du TGI spécialement désigné, jusqu’à expiration de leur mandat initial et sans être soumis à l’obligation de formation prévue à l’article L. 218-12. Le III ajoute que « les conditions d’application des dispositions du présent article sont fixées par décret en Conseil d’État ». Curieusement, ce II et ce III ne sont pas intégrés à l’article 114 de la loi J21…</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b/>
          <w:bCs/>
          <w:sz w:val="22"/>
          <w:szCs w:val="22"/>
          <w:lang w:eastAsia="fr-FR"/>
        </w:rPr>
        <w:t>Entrée en vigueur</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L’article 8 fixe la date d’entrée en vigueur des articles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à 6, par référence à l’article 114 précité, date qui ne peut dépasser le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janvier 2019. Date très proche désormais et avant laquelle plusieurs décrets devront être pris, afin que la première étape de la vaste réforme (v. le </w:t>
      </w:r>
      <w:hyperlink r:id="rId19" w:tgtFrame="_blank" w:history="1">
        <w:r w:rsidRPr="00244AA8">
          <w:rPr>
            <w:rFonts w:ascii="Arial Narrow" w:hAnsi="Arial Narrow"/>
            <w:color w:val="0000FF"/>
            <w:sz w:val="22"/>
            <w:szCs w:val="22"/>
            <w:u w:val="single"/>
            <w:lang w:eastAsia="fr-FR"/>
          </w:rPr>
          <w:t>Rapport</w:t>
        </w:r>
      </w:hyperlink>
      <w:r w:rsidRPr="00244AA8">
        <w:rPr>
          <w:rFonts w:ascii="Arial Narrow" w:hAnsi="Arial Narrow"/>
          <w:sz w:val="22"/>
          <w:szCs w:val="22"/>
          <w:lang w:eastAsia="fr-FR"/>
        </w:rPr>
        <w:t xml:space="preserve"> relatif au projet de transfert du contentieux de la sécurité sociale vers les tribunaux de grande instance) ne soit pas un « couac »…</w:t>
      </w:r>
    </w:p>
    <w:p w:rsidR="00244AA8" w:rsidRDefault="00244AA8" w:rsidP="00244AA8">
      <w:pPr>
        <w:spacing w:before="120"/>
        <w:outlineLvl w:val="0"/>
      </w:pPr>
    </w:p>
    <w:p w:rsidR="00244AA8" w:rsidRDefault="00244AA8">
      <w:pPr>
        <w:spacing w:before="0"/>
        <w:rPr>
          <w:rFonts w:ascii="Arial Narrow" w:hAnsi="Arial Narrow"/>
          <w:b/>
          <w:bCs/>
          <w:kern w:val="36"/>
          <w:sz w:val="22"/>
          <w:szCs w:val="22"/>
          <w:lang w:eastAsia="fr-FR"/>
        </w:rPr>
      </w:pPr>
      <w:r>
        <w:rPr>
          <w:rFonts w:ascii="Arial Narrow" w:hAnsi="Arial Narrow"/>
          <w:b/>
          <w:bCs/>
          <w:kern w:val="36"/>
          <w:sz w:val="22"/>
          <w:szCs w:val="22"/>
          <w:lang w:eastAsia="fr-FR"/>
        </w:rPr>
        <w:br w:type="page"/>
      </w:r>
    </w:p>
    <w:p w:rsidR="00244AA8" w:rsidRPr="00244AA8" w:rsidRDefault="00244AA8" w:rsidP="00244AA8">
      <w:pPr>
        <w:spacing w:before="120"/>
        <w:outlineLvl w:val="0"/>
        <w:rPr>
          <w:rFonts w:ascii="Arial Narrow" w:hAnsi="Arial Narrow"/>
          <w:b/>
          <w:bCs/>
          <w:kern w:val="36"/>
          <w:sz w:val="28"/>
          <w:szCs w:val="28"/>
          <w:lang w:eastAsia="fr-FR"/>
        </w:rPr>
      </w:pPr>
      <w:r w:rsidRPr="00244AA8">
        <w:rPr>
          <w:rFonts w:ascii="Arial Narrow" w:hAnsi="Arial Narrow"/>
          <w:b/>
          <w:bCs/>
          <w:kern w:val="36"/>
          <w:sz w:val="28"/>
          <w:szCs w:val="28"/>
          <w:lang w:eastAsia="fr-FR"/>
        </w:rPr>
        <w:lastRenderedPageBreak/>
        <w:t xml:space="preserve">Réforme du contentieux de la sécurité sociale et de l’action sociale : le décret « compétence » </w:t>
      </w:r>
    </w:p>
    <w:p w:rsidR="00244AA8" w:rsidRDefault="00244AA8" w:rsidP="00244AA8">
      <w:pPr>
        <w:spacing w:before="120"/>
        <w:rPr>
          <w:rFonts w:ascii="Arial Narrow" w:hAnsi="Arial Narrow"/>
          <w:sz w:val="22"/>
          <w:szCs w:val="22"/>
          <w:lang w:eastAsia="fr-FR"/>
        </w:rPr>
      </w:pPr>
      <w:hyperlink r:id="rId20" w:history="1">
        <w:r w:rsidRPr="00244AA8">
          <w:rPr>
            <w:rFonts w:ascii="Arial Narrow" w:hAnsi="Arial Narrow"/>
            <w:color w:val="0000FF"/>
            <w:sz w:val="22"/>
            <w:szCs w:val="22"/>
            <w:u w:val="single"/>
            <w:lang w:eastAsia="fr-FR"/>
          </w:rPr>
          <w:t>AVOCAT</w:t>
        </w:r>
      </w:hyperlink>
      <w:r w:rsidRPr="00244AA8">
        <w:rPr>
          <w:rFonts w:ascii="Arial Narrow" w:hAnsi="Arial Narrow"/>
          <w:sz w:val="22"/>
          <w:szCs w:val="22"/>
          <w:lang w:eastAsia="fr-FR"/>
        </w:rPr>
        <w:br/>
      </w:r>
      <w:hyperlink r:id="rId21" w:history="1">
        <w:r w:rsidRPr="00244AA8">
          <w:rPr>
            <w:rFonts w:ascii="Arial Narrow" w:hAnsi="Arial Narrow"/>
            <w:color w:val="0000FF"/>
            <w:sz w:val="22"/>
            <w:szCs w:val="22"/>
            <w:u w:val="single"/>
            <w:lang w:eastAsia="fr-FR"/>
          </w:rPr>
          <w:t>CIVIL</w:t>
        </w:r>
      </w:hyperlink>
      <w:r w:rsidRPr="00244AA8">
        <w:rPr>
          <w:rFonts w:ascii="Arial Narrow" w:hAnsi="Arial Narrow"/>
          <w:sz w:val="22"/>
          <w:szCs w:val="22"/>
          <w:lang w:eastAsia="fr-FR"/>
        </w:rPr>
        <w:t xml:space="preserve"> | </w:t>
      </w:r>
      <w:hyperlink r:id="rId22" w:history="1">
        <w:r w:rsidRPr="00244AA8">
          <w:rPr>
            <w:rFonts w:ascii="Arial Narrow" w:hAnsi="Arial Narrow"/>
            <w:color w:val="0000FF"/>
            <w:sz w:val="22"/>
            <w:szCs w:val="22"/>
            <w:u w:val="single"/>
            <w:lang w:eastAsia="fr-FR"/>
          </w:rPr>
          <w:t>Procédure civile</w:t>
        </w:r>
      </w:hyperlink>
      <w:r w:rsidRPr="00244AA8">
        <w:rPr>
          <w:rFonts w:ascii="Arial Narrow" w:hAnsi="Arial Narrow"/>
          <w:sz w:val="22"/>
          <w:szCs w:val="22"/>
          <w:lang w:eastAsia="fr-FR"/>
        </w:rPr>
        <w:br/>
      </w:r>
      <w:hyperlink r:id="rId23" w:history="1">
        <w:r w:rsidRPr="00244AA8">
          <w:rPr>
            <w:rFonts w:ascii="Arial Narrow" w:hAnsi="Arial Narrow"/>
            <w:color w:val="0000FF"/>
            <w:sz w:val="22"/>
            <w:szCs w:val="22"/>
            <w:u w:val="single"/>
            <w:lang w:eastAsia="fr-FR"/>
          </w:rPr>
          <w:t>SOCIAL</w:t>
        </w:r>
      </w:hyperlink>
      <w:r w:rsidRPr="00244AA8">
        <w:rPr>
          <w:rFonts w:ascii="Arial Narrow" w:hAnsi="Arial Narrow"/>
          <w:sz w:val="22"/>
          <w:szCs w:val="22"/>
          <w:lang w:eastAsia="fr-FR"/>
        </w:rPr>
        <w:t xml:space="preserve"> | </w:t>
      </w:r>
      <w:hyperlink r:id="rId24" w:history="1">
        <w:r w:rsidRPr="00244AA8">
          <w:rPr>
            <w:rFonts w:ascii="Arial Narrow" w:hAnsi="Arial Narrow"/>
            <w:color w:val="0000FF"/>
            <w:sz w:val="22"/>
            <w:szCs w:val="22"/>
            <w:u w:val="single"/>
            <w:lang w:eastAsia="fr-FR"/>
          </w:rPr>
          <w:t>Droit de la sécurité sociale</w:t>
        </w:r>
      </w:hyperlink>
    </w:p>
    <w:p w:rsidR="00244AA8" w:rsidRPr="00244AA8" w:rsidRDefault="00244AA8" w:rsidP="00244AA8">
      <w:pPr>
        <w:spacing w:before="120"/>
        <w:rPr>
          <w:rFonts w:ascii="Arial Narrow" w:hAnsi="Arial Narrow"/>
          <w:sz w:val="22"/>
          <w:szCs w:val="22"/>
          <w:lang w:eastAsia="fr-FR"/>
        </w:rPr>
      </w:pPr>
      <w:hyperlink r:id="rId25" w:history="1">
        <w:r w:rsidRPr="00535EC3">
          <w:rPr>
            <w:rStyle w:val="Lienhypertexte"/>
            <w:rFonts w:ascii="Arial Narrow" w:hAnsi="Arial Narrow"/>
            <w:sz w:val="22"/>
            <w:szCs w:val="22"/>
            <w:lang w:eastAsia="fr-FR"/>
          </w:rPr>
          <w:t>https://www.dalloz-actualite.fr/flash/reforme-du-contentieux-de-securite-sociale-et-de-l-action-sociale-decret-competence</w:t>
        </w:r>
      </w:hyperlink>
      <w:r>
        <w:rPr>
          <w:rFonts w:ascii="Arial Narrow" w:hAnsi="Arial Narrow"/>
          <w:sz w:val="22"/>
          <w:szCs w:val="22"/>
          <w:lang w:eastAsia="fr-FR"/>
        </w:rPr>
        <w:t xml:space="preserve">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Le décret n° 2018-772 du 4 septembre 2018 désignant les tribunaux de grande instance et cours d’appel compétents en matière de contentieux général et technique de la sécurité sociale et d’admission à l’aide sociale, pris pour l’application des articles L. 211-16 et L. 311-15 du code de l’organisation judiciaire, tels qu’ils résultent de l’article 12 de la loi de modernisation de la justice du 21</w:t>
      </w:r>
      <w:r w:rsidRPr="00244AA8">
        <w:rPr>
          <w:rFonts w:ascii="Arial Narrow" w:hAnsi="Arial Narrow"/>
          <w:sz w:val="22"/>
          <w:szCs w:val="22"/>
          <w:vertAlign w:val="superscript"/>
          <w:lang w:eastAsia="fr-FR"/>
        </w:rPr>
        <w:t>e</w:t>
      </w:r>
      <w:r w:rsidRPr="00244AA8">
        <w:rPr>
          <w:rFonts w:ascii="Arial Narrow" w:hAnsi="Arial Narrow"/>
          <w:sz w:val="22"/>
          <w:szCs w:val="22"/>
          <w:lang w:eastAsia="fr-FR"/>
        </w:rPr>
        <w:t xml:space="preserve"> siècle, a été publié au </w:t>
      </w:r>
      <w:r w:rsidRPr="00244AA8">
        <w:rPr>
          <w:rFonts w:ascii="Arial Narrow" w:hAnsi="Arial Narrow"/>
          <w:i/>
          <w:iCs/>
          <w:sz w:val="22"/>
          <w:szCs w:val="22"/>
          <w:lang w:eastAsia="fr-FR"/>
        </w:rPr>
        <w:t>Journal officiel</w:t>
      </w:r>
      <w:r w:rsidRPr="00244AA8">
        <w:rPr>
          <w:rFonts w:ascii="Arial Narrow" w:hAnsi="Arial Narrow"/>
          <w:sz w:val="22"/>
          <w:szCs w:val="22"/>
          <w:lang w:eastAsia="fr-FR"/>
        </w:rPr>
        <w:t xml:space="preserve"> du 6 septembre.</w:t>
      </w:r>
    </w:p>
    <w:p w:rsidR="00244AA8" w:rsidRPr="00244AA8" w:rsidRDefault="00244AA8" w:rsidP="00244AA8">
      <w:pPr>
        <w:spacing w:before="120"/>
        <w:rPr>
          <w:rFonts w:ascii="Arial Narrow" w:hAnsi="Arial Narrow"/>
          <w:sz w:val="22"/>
          <w:szCs w:val="22"/>
          <w:lang w:eastAsia="fr-FR"/>
        </w:rPr>
      </w:pPr>
      <w:proofErr w:type="gramStart"/>
      <w:r w:rsidRPr="00244AA8">
        <w:rPr>
          <w:rFonts w:ascii="Arial Narrow" w:hAnsi="Arial Narrow"/>
          <w:sz w:val="22"/>
          <w:szCs w:val="22"/>
          <w:lang w:eastAsia="fr-FR"/>
        </w:rPr>
        <w:t>par</w:t>
      </w:r>
      <w:proofErr w:type="gramEnd"/>
      <w:r w:rsidRPr="00244AA8">
        <w:rPr>
          <w:rFonts w:ascii="Arial Narrow" w:hAnsi="Arial Narrow"/>
          <w:sz w:val="22"/>
          <w:szCs w:val="22"/>
          <w:lang w:eastAsia="fr-FR"/>
        </w:rPr>
        <w:t> </w:t>
      </w:r>
      <w:hyperlink r:id="rId26" w:history="1">
        <w:r w:rsidRPr="00244AA8">
          <w:rPr>
            <w:rFonts w:ascii="Arial Narrow" w:hAnsi="Arial Narrow"/>
            <w:color w:val="0000FF"/>
            <w:sz w:val="22"/>
            <w:szCs w:val="22"/>
            <w:u w:val="single"/>
            <w:lang w:eastAsia="fr-FR"/>
          </w:rPr>
          <w:t xml:space="preserve">Corinne </w:t>
        </w:r>
        <w:proofErr w:type="spellStart"/>
        <w:r w:rsidRPr="00244AA8">
          <w:rPr>
            <w:rFonts w:ascii="Arial Narrow" w:hAnsi="Arial Narrow"/>
            <w:color w:val="0000FF"/>
            <w:sz w:val="22"/>
            <w:szCs w:val="22"/>
            <w:u w:val="single"/>
            <w:lang w:eastAsia="fr-FR"/>
          </w:rPr>
          <w:t>Bléry</w:t>
        </w:r>
      </w:hyperlink>
      <w:r w:rsidRPr="00244AA8">
        <w:rPr>
          <w:rFonts w:ascii="Arial Narrow" w:hAnsi="Arial Narrow"/>
          <w:sz w:val="22"/>
          <w:szCs w:val="22"/>
          <w:lang w:eastAsia="fr-FR"/>
        </w:rPr>
        <w:t>le</w:t>
      </w:r>
      <w:proofErr w:type="spellEnd"/>
      <w:r w:rsidRPr="00244AA8">
        <w:rPr>
          <w:rFonts w:ascii="Arial Narrow" w:hAnsi="Arial Narrow"/>
          <w:sz w:val="22"/>
          <w:szCs w:val="22"/>
          <w:lang w:eastAsia="fr-FR"/>
        </w:rPr>
        <w:t xml:space="preserve"> 7 septembre 2018 </w:t>
      </w:r>
    </w:p>
    <w:p w:rsidR="00244AA8" w:rsidRPr="00244AA8" w:rsidRDefault="00244AA8" w:rsidP="00244AA8">
      <w:pPr>
        <w:spacing w:before="120"/>
        <w:rPr>
          <w:rFonts w:ascii="Arial Narrow" w:hAnsi="Arial Narrow"/>
          <w:sz w:val="22"/>
          <w:szCs w:val="22"/>
          <w:lang w:eastAsia="fr-FR"/>
        </w:rPr>
      </w:pPr>
      <w:hyperlink r:id="rId27" w:history="1">
        <w:proofErr w:type="spellStart"/>
        <w:r w:rsidRPr="00244AA8">
          <w:rPr>
            <w:rFonts w:ascii="Arial Narrow" w:hAnsi="Arial Narrow"/>
            <w:color w:val="0000FF"/>
            <w:sz w:val="22"/>
            <w:szCs w:val="22"/>
            <w:u w:val="single"/>
            <w:lang w:eastAsia="fr-FR"/>
          </w:rPr>
          <w:t>Décr</w:t>
        </w:r>
        <w:proofErr w:type="spellEnd"/>
        <w:r w:rsidRPr="00244AA8">
          <w:rPr>
            <w:rFonts w:ascii="Arial Narrow" w:hAnsi="Arial Narrow"/>
            <w:color w:val="0000FF"/>
            <w:sz w:val="22"/>
            <w:szCs w:val="22"/>
            <w:u w:val="single"/>
            <w:lang w:eastAsia="fr-FR"/>
          </w:rPr>
          <w:t xml:space="preserve">. </w:t>
        </w:r>
        <w:proofErr w:type="gramStart"/>
        <w:r w:rsidRPr="00244AA8">
          <w:rPr>
            <w:rFonts w:ascii="Arial Narrow" w:hAnsi="Arial Narrow"/>
            <w:color w:val="0000FF"/>
            <w:sz w:val="22"/>
            <w:szCs w:val="22"/>
            <w:u w:val="single"/>
            <w:lang w:eastAsia="fr-FR"/>
          </w:rPr>
          <w:t>n</w:t>
        </w:r>
        <w:proofErr w:type="gramEnd"/>
        <w:r w:rsidRPr="00244AA8">
          <w:rPr>
            <w:rFonts w:ascii="Arial Narrow" w:hAnsi="Arial Narrow"/>
            <w:color w:val="0000FF"/>
            <w:sz w:val="22"/>
            <w:szCs w:val="22"/>
            <w:u w:val="single"/>
            <w:lang w:eastAsia="fr-FR"/>
          </w:rPr>
          <w:t>° 2018-772, 4 sept. 2018, JO 6 sept.</w:t>
        </w:r>
      </w:hyperlink>
      <w:r w:rsidRPr="00244AA8">
        <w:rPr>
          <w:rFonts w:ascii="Arial Narrow" w:hAnsi="Arial Narrow"/>
          <w:sz w:val="22"/>
          <w:szCs w:val="22"/>
          <w:lang w:eastAsia="fr-FR"/>
        </w:rPr>
        <w:t xml:space="preserve">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Nouvelle étape dans la réforme du contentieux de la sécurité sociale et de l’aide sociale après la loi J21 et l’ordonnance du 16 mai 2018 (sur lesquelles, v., Dalloz actualité, 25 mai 2018, art. C. </w:t>
      </w:r>
      <w:proofErr w:type="spellStart"/>
      <w:r w:rsidRPr="00244AA8">
        <w:rPr>
          <w:rFonts w:ascii="Arial Narrow" w:hAnsi="Arial Narrow"/>
          <w:sz w:val="22"/>
          <w:szCs w:val="22"/>
          <w:lang w:eastAsia="fr-FR"/>
        </w:rPr>
        <w:t>Bléry</w:t>
      </w:r>
      <w:proofErr w:type="spellEnd"/>
      <w:r w:rsidRPr="00244AA8">
        <w:rPr>
          <w:rFonts w:ascii="Arial Narrow" w:hAnsi="Arial Narrow"/>
          <w:sz w:val="22"/>
          <w:szCs w:val="22"/>
          <w:lang w:eastAsia="fr-FR"/>
        </w:rPr>
        <w:t xml:space="preserve"> et E. </w:t>
      </w:r>
      <w:proofErr w:type="spellStart"/>
      <w:r w:rsidRPr="00244AA8">
        <w:rPr>
          <w:rFonts w:ascii="Arial Narrow" w:hAnsi="Arial Narrow"/>
          <w:sz w:val="22"/>
          <w:szCs w:val="22"/>
          <w:lang w:eastAsia="fr-FR"/>
        </w:rPr>
        <w:t>Tamion</w:t>
      </w:r>
      <w:proofErr w:type="spellEnd"/>
      <w:r w:rsidRPr="00244AA8">
        <w:rPr>
          <w:rFonts w:ascii="Arial Narrow" w:hAnsi="Arial Narrow"/>
          <w:sz w:val="22"/>
          <w:szCs w:val="22"/>
          <w:lang w:eastAsia="fr-FR"/>
        </w:rPr>
        <w:t xml:space="preserve"> </w:t>
      </w:r>
      <w:r w:rsidRPr="00244AA8">
        <w:rPr>
          <w:rFonts w:ascii="Arial Narrow" w:hAnsi="Arial Narrow"/>
          <w:noProof/>
          <w:color w:val="0000FF"/>
          <w:sz w:val="22"/>
          <w:szCs w:val="22"/>
          <w:lang w:eastAsia="fr-FR"/>
        </w:rPr>
        <w:drawing>
          <wp:inline distT="0" distB="0" distL="0" distR="0" wp14:anchorId="045D964F" wp14:editId="037F0985">
            <wp:extent cx="85725" cy="114300"/>
            <wp:effectExtent l="0" t="0" r="9525" b="0"/>
            <wp:docPr id="25" name="Image 25" descr="https://www.dalloz-actualite.fr/sites/all/themes/dallozactu/icons/type_link_flash.png">
              <a:hlinkClick xmlns:a="http://schemas.openxmlformats.org/drawingml/2006/main" r:id="rId8"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alloz-actualite.fr/sites/all/themes/dallozactu/icons/type_link_flash.png">
                      <a:hlinkClick r:id="rId8"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244AA8">
        <w:rPr>
          <w:rFonts w:ascii="Arial Narrow" w:hAnsi="Arial Narrow"/>
          <w:sz w:val="22"/>
          <w:szCs w:val="22"/>
          <w:lang w:eastAsia="fr-FR"/>
        </w:rPr>
        <w:t>, et les références), le décret du 6 septembre a pour objet la « désignation de tribunaux de grande instance et de cours d’appel compétents pour connaître en première instance et en appel des litiges relevant du contentieux général de la sécurité sociale, du contentieux technique de la sécurité sociale, de l’admission à l’aide sociale » (v. notice du décret). Son entrée en vigueur est fixée au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janvier 2019.</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Le décret ajoute les articles D. 211-10-3 et D. 311-12-1 au code de l’organisation judiciaire, qui annoncent respectivement que le siège et le ressort des tribunaux de grande instance et des cours d’appel spécialisés en matière de contentieux de la sécurité sociale et de l’aide sociale sont fixés conformément à un tableau annexé au code, à savoir le tableau VIII-III.</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Rappelons que la loi J21 a prévu la suppression des trois juridictions actuelles de sécurité sociale de première instance, au plus tard au 1</w:t>
      </w:r>
      <w:r w:rsidRPr="00244AA8">
        <w:rPr>
          <w:rFonts w:ascii="Arial Narrow" w:hAnsi="Arial Narrow"/>
          <w:sz w:val="22"/>
          <w:szCs w:val="22"/>
          <w:vertAlign w:val="superscript"/>
          <w:lang w:eastAsia="fr-FR"/>
        </w:rPr>
        <w:t>er</w:t>
      </w:r>
      <w:r w:rsidRPr="00244AA8">
        <w:rPr>
          <w:rFonts w:ascii="Arial Narrow" w:hAnsi="Arial Narrow"/>
          <w:sz w:val="22"/>
          <w:szCs w:val="22"/>
          <w:lang w:eastAsia="fr-FR"/>
        </w:rPr>
        <w:t xml:space="preserve"> janvier 2019 (v. C. </w:t>
      </w:r>
      <w:proofErr w:type="spellStart"/>
      <w:r w:rsidRPr="00244AA8">
        <w:rPr>
          <w:rFonts w:ascii="Arial Narrow" w:hAnsi="Arial Narrow"/>
          <w:sz w:val="22"/>
          <w:szCs w:val="22"/>
          <w:lang w:eastAsia="fr-FR"/>
        </w:rPr>
        <w:t>Bléry</w:t>
      </w:r>
      <w:proofErr w:type="spellEnd"/>
      <w:r w:rsidRPr="00244AA8">
        <w:rPr>
          <w:rFonts w:ascii="Arial Narrow" w:hAnsi="Arial Narrow"/>
          <w:sz w:val="22"/>
          <w:szCs w:val="22"/>
          <w:lang w:eastAsia="fr-FR"/>
        </w:rPr>
        <w:t xml:space="preserve"> et E. </w:t>
      </w:r>
      <w:proofErr w:type="spellStart"/>
      <w:r w:rsidRPr="00244AA8">
        <w:rPr>
          <w:rFonts w:ascii="Arial Narrow" w:hAnsi="Arial Narrow"/>
          <w:sz w:val="22"/>
          <w:szCs w:val="22"/>
          <w:lang w:eastAsia="fr-FR"/>
        </w:rPr>
        <w:t>Tamion</w:t>
      </w:r>
      <w:proofErr w:type="spellEnd"/>
      <w:r w:rsidRPr="00244AA8">
        <w:rPr>
          <w:rFonts w:ascii="Arial Narrow" w:hAnsi="Arial Narrow"/>
          <w:sz w:val="22"/>
          <w:szCs w:val="22"/>
          <w:lang w:eastAsia="fr-FR"/>
        </w:rPr>
        <w:t xml:space="preserve">, art.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 Les cent quinze tribunaux des affaires de sécurité sociale (TASS) et les vingt-six tribunaux du contentieux de l’incapacité (TCI) seront fusionnés et intégrés dans un pôle social de tribunaux de grande instance spécialement désignés (COJ, art. L. 211-16, issu de la loi J21). La Cour nationale de l’incapacité et de la tarification de l’assurance des accidents du travail (CNITAAT) est également supprimée : seule la cour d’appel d’Amiens connaîtra, toujours en premier et dernier ressort, « des litiges mentionnés au 4° de l’article L. 142-2 du code de la sécurité sociale », à savoir les questions de tarification (COJ, art. L. 311-16 et D. 311-12, issu du décret n° 2017-13 du 5 janv. 2017). Par ailleurs les commissions départementales d’aide sociale (CDAS) disparaissent aussi au profit des tribunaux de grande instance (TGI) spécialisés (CSS, art. L. 134-1 s.) ou des juridictions administratives de droit commun.</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Les TGI spécialisés seront donc compétents pour traiter du contentieux général de la sécurité sociale (CSS, art. L. 142-1, nv.), du contentieux technique (CSS, art. L. 142-2, nv.) – à l’exclusion de la tarification des accidents du travail – et d’une partie du contentieux de l’admission à l’aide sociale (visée aux COJ, art. L. 211-16, 3°, CASF, art. L. 134-3 et CSS, art. L. 142-3, L. 861-5 et L. 863-3), ainsi que des litiges relevant de l’application de l’article L. 4162-13 du code du travail (devenu L. 4163-17). Les trois premiers contentieux sont attribués au « juge judiciaire » par l’article L. 142-8, créé, du code de la sécurité sociale. Le nouvel article L. 211-16 du code de l’organisation judiciaire, lui, confie les quatre à « des tribunaux de grande instance spécialement désignés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Seules des cours d’appel désignées (v. COJ, art. L. 311-15) connaîtront des décisions rendues en matière de contentieux général de la sécurité sociale et de l’aide sociale relevant du juge judiciaire, ainsi que du contentieux technique, puisque la CNITAAT disparaîtra en tant que juridiction d’appel de ce contentieux – qui se trouvera donc réparti entre les cours d’appel spécialisées.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Le décret du 4 septembre désigne donc les TGI et cours d’appel spécialisés, qui vont avoir un pôle social, la Chancellerie ayant maintenu cette orientation malgré la vive opposition des avocats (v. Dalloz actualité, 24 juill. 2018, art. T. </w:t>
      </w:r>
      <w:proofErr w:type="spellStart"/>
      <w:r w:rsidRPr="00244AA8">
        <w:rPr>
          <w:rFonts w:ascii="Arial Narrow" w:hAnsi="Arial Narrow"/>
          <w:sz w:val="22"/>
          <w:szCs w:val="22"/>
          <w:lang w:eastAsia="fr-FR"/>
        </w:rPr>
        <w:t>Coustet</w:t>
      </w:r>
      <w:proofErr w:type="spellEnd"/>
      <w:r w:rsidRPr="00244AA8">
        <w:rPr>
          <w:rFonts w:ascii="Arial Narrow" w:hAnsi="Arial Narrow"/>
          <w:sz w:val="22"/>
          <w:szCs w:val="22"/>
          <w:lang w:eastAsia="fr-FR"/>
        </w:rPr>
        <w:t xml:space="preserve"> </w:t>
      </w:r>
      <w:r w:rsidRPr="00244AA8">
        <w:rPr>
          <w:rFonts w:ascii="Arial Narrow" w:hAnsi="Arial Narrow"/>
          <w:noProof/>
          <w:color w:val="0000FF"/>
          <w:sz w:val="22"/>
          <w:szCs w:val="22"/>
          <w:lang w:eastAsia="fr-FR"/>
        </w:rPr>
        <w:drawing>
          <wp:inline distT="0" distB="0" distL="0" distR="0" wp14:anchorId="155C1331" wp14:editId="6457EC27">
            <wp:extent cx="85725" cy="114300"/>
            <wp:effectExtent l="0" t="0" r="9525" b="0"/>
            <wp:docPr id="26" name="Image 26" descr="https://www.dalloz-actualite.fr/sites/all/themes/dallozactu/icons/type_link_flash.png">
              <a:hlinkClick xmlns:a="http://schemas.openxmlformats.org/drawingml/2006/main" r:id="rId29"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alloz-actualite.fr/sites/all/themes/dallozactu/icons/type_link_flash.png">
                      <a:hlinkClick r:id="rId29"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244AA8">
        <w:rPr>
          <w:rFonts w:ascii="Arial Narrow" w:hAnsi="Arial Narrow"/>
          <w:sz w:val="22"/>
          <w:szCs w:val="22"/>
          <w:lang w:eastAsia="fr-FR"/>
        </w:rPr>
        <w:t xml:space="preserve"> ; L. </w:t>
      </w:r>
      <w:proofErr w:type="spellStart"/>
      <w:r w:rsidRPr="00244AA8">
        <w:rPr>
          <w:rFonts w:ascii="Arial Narrow" w:hAnsi="Arial Narrow"/>
          <w:sz w:val="22"/>
          <w:szCs w:val="22"/>
          <w:lang w:eastAsia="fr-FR"/>
        </w:rPr>
        <w:t>Garnerie</w:t>
      </w:r>
      <w:proofErr w:type="spellEnd"/>
      <w:r w:rsidRPr="00244AA8">
        <w:rPr>
          <w:rFonts w:ascii="Arial Narrow" w:hAnsi="Arial Narrow"/>
          <w:sz w:val="22"/>
          <w:szCs w:val="22"/>
          <w:lang w:eastAsia="fr-FR"/>
        </w:rPr>
        <w:t xml:space="preserve">, Pôles sociaux : la machine est lancée, Gaz. Pal. 31 juill. 2018, p. 5 ; v. </w:t>
      </w:r>
      <w:r w:rsidRPr="00244AA8">
        <w:rPr>
          <w:rFonts w:ascii="Arial Narrow" w:hAnsi="Arial Narrow"/>
          <w:sz w:val="22"/>
          <w:szCs w:val="22"/>
          <w:lang w:eastAsia="fr-FR"/>
        </w:rPr>
        <w:lastRenderedPageBreak/>
        <w:t>aussi le Retour sur l’assemblée générale des 6 et 7 juillet 2018, « </w:t>
      </w:r>
      <w:hyperlink r:id="rId30" w:anchor="1" w:tgtFrame="_blank" w:history="1">
        <w:r w:rsidRPr="00244AA8">
          <w:rPr>
            <w:rFonts w:ascii="Arial Narrow" w:hAnsi="Arial Narrow"/>
            <w:color w:val="0000FF"/>
            <w:sz w:val="22"/>
            <w:szCs w:val="22"/>
            <w:u w:val="single"/>
            <w:lang w:eastAsia="fr-FR"/>
          </w:rPr>
          <w:t>Projet de loi de programmation pour la justice – Territoires et proximité</w:t>
        </w:r>
      </w:hyperlink>
      <w:r w:rsidRPr="00244AA8">
        <w:rPr>
          <w:rFonts w:ascii="Arial Narrow" w:hAnsi="Arial Narrow"/>
          <w:sz w:val="22"/>
          <w:szCs w:val="22"/>
          <w:lang w:eastAsia="fr-FR"/>
        </w:rPr>
        <w:t> »).</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Ce sont donc bien vingt-quatre cours d’appel en métropole (outre quatre cours outre-mer) que le décret désigne, avec le rattachement de cinq juridictions du second degré à des ressorts limitrophes : Agen à Toulouse, Bourges à Orléans, Chambéry à Grenoble, Limoges à Poitiers et Reims à Nancy (v. T. </w:t>
      </w:r>
      <w:proofErr w:type="spellStart"/>
      <w:r w:rsidRPr="00244AA8">
        <w:rPr>
          <w:rFonts w:ascii="Arial Narrow" w:hAnsi="Arial Narrow"/>
          <w:sz w:val="22"/>
          <w:szCs w:val="22"/>
          <w:lang w:eastAsia="fr-FR"/>
        </w:rPr>
        <w:t>Coustet</w:t>
      </w:r>
      <w:proofErr w:type="spellEnd"/>
      <w:r w:rsidRPr="00244AA8">
        <w:rPr>
          <w:rFonts w:ascii="Arial Narrow" w:hAnsi="Arial Narrow"/>
          <w:sz w:val="22"/>
          <w:szCs w:val="22"/>
          <w:lang w:eastAsia="fr-FR"/>
        </w:rPr>
        <w:t xml:space="preserve"> et L. </w:t>
      </w:r>
      <w:proofErr w:type="spellStart"/>
      <w:r w:rsidRPr="00244AA8">
        <w:rPr>
          <w:rFonts w:ascii="Arial Narrow" w:hAnsi="Arial Narrow"/>
          <w:sz w:val="22"/>
          <w:szCs w:val="22"/>
          <w:lang w:eastAsia="fr-FR"/>
        </w:rPr>
        <w:t>Garnerie</w:t>
      </w:r>
      <w:proofErr w:type="spellEnd"/>
      <w:r w:rsidRPr="00244AA8">
        <w:rPr>
          <w:rFonts w:ascii="Arial Narrow" w:hAnsi="Arial Narrow"/>
          <w:sz w:val="22"/>
          <w:szCs w:val="22"/>
          <w:lang w:eastAsia="fr-FR"/>
        </w:rPr>
        <w:t xml:space="preserve">, art.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Cent quinze TGI (dont cinq outre-mer) reçoivent le contentieux des cent quinze TASS, à savoir les TGI des villes où les TASS actuels ont leur siège ; ils se répartissent aussi le contentieux des vingt-six TCI, qui sera donc déconcentré par rapport à l’existant, ce qui ne peut que réjouir les avocats.</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 On prendra garde par ailleurs à ce que le ressort des anciens TASS corresponde bien à celui des TGI spécialement désignés, cela a pu s’accompagner de quelques changements d’adresse, ce qui a son importance pour la validité de l’information donnée par les organismes sociaux sur l’exercice des voies de recours et le cas échéant de leur recevabilité (par exemple, pour la Manche, le TASS est à Saint-Lô, or ce sera désormais le TGI de Coutances ; </w:t>
      </w:r>
      <w:r w:rsidRPr="00244AA8">
        <w:rPr>
          <w:rFonts w:ascii="Arial Narrow" w:hAnsi="Arial Narrow"/>
          <w:i/>
          <w:iCs/>
          <w:sz w:val="22"/>
          <w:szCs w:val="22"/>
          <w:lang w:eastAsia="fr-FR"/>
        </w:rPr>
        <w:t>idem</w:t>
      </w:r>
      <w:r w:rsidRPr="00244AA8">
        <w:rPr>
          <w:rFonts w:ascii="Arial Narrow" w:hAnsi="Arial Narrow"/>
          <w:sz w:val="22"/>
          <w:szCs w:val="22"/>
          <w:lang w:eastAsia="fr-FR"/>
        </w:rPr>
        <w:t xml:space="preserve"> pour le Calvados, où le TASS est situé à Saint-Contest et non à Caen) » (E. </w:t>
      </w:r>
      <w:proofErr w:type="spellStart"/>
      <w:r w:rsidRPr="00244AA8">
        <w:rPr>
          <w:rFonts w:ascii="Arial Narrow" w:hAnsi="Arial Narrow"/>
          <w:sz w:val="22"/>
          <w:szCs w:val="22"/>
          <w:lang w:eastAsia="fr-FR"/>
        </w:rPr>
        <w:t>Tamion</w:t>
      </w:r>
      <w:proofErr w:type="spellEnd"/>
      <w:r w:rsidRPr="00244AA8">
        <w:rPr>
          <w:rFonts w:ascii="Arial Narrow" w:hAnsi="Arial Narrow"/>
          <w:sz w:val="22"/>
          <w:szCs w:val="22"/>
          <w:lang w:eastAsia="fr-FR"/>
        </w:rPr>
        <w:t>).</w:t>
      </w:r>
    </w:p>
    <w:p w:rsidR="00244AA8" w:rsidRPr="00244AA8" w:rsidRDefault="00244AA8" w:rsidP="00244AA8">
      <w:pPr>
        <w:spacing w:before="120"/>
        <w:rPr>
          <w:rFonts w:ascii="Arial Narrow" w:hAnsi="Arial Narrow"/>
          <w:sz w:val="22"/>
          <w:szCs w:val="22"/>
          <w:lang w:eastAsia="fr-FR"/>
        </w:rPr>
      </w:pPr>
      <w:r w:rsidRPr="00244AA8">
        <w:rPr>
          <w:rFonts w:ascii="Arial Narrow" w:hAnsi="Arial Narrow"/>
          <w:sz w:val="22"/>
          <w:szCs w:val="22"/>
          <w:lang w:eastAsia="fr-FR"/>
        </w:rPr>
        <w:t xml:space="preserve">La question des juridictions compétentes étant désormais réglée, reste maintenant à publier le décret régissant la procédure devant les TGI et cours d’appel spécialisés, qui sera certainement dérogatoire à la procédure TGI classique – la procédure actuelle devant les juridictions de sécurité sociale étant orale. Reste aussi la question de la représentation en appel, qui devrait devenir obligatoire – sauf pour les caisses de sécurité sociale –, malgré un choix initial inverse, en guise de « lot de consolation pour la profession » (L. </w:t>
      </w:r>
      <w:proofErr w:type="spellStart"/>
      <w:r w:rsidRPr="00244AA8">
        <w:rPr>
          <w:rFonts w:ascii="Arial Narrow" w:hAnsi="Arial Narrow"/>
          <w:sz w:val="22"/>
          <w:szCs w:val="22"/>
          <w:lang w:eastAsia="fr-FR"/>
        </w:rPr>
        <w:t>Garnerie</w:t>
      </w:r>
      <w:proofErr w:type="spellEnd"/>
      <w:r w:rsidRPr="00244AA8">
        <w:rPr>
          <w:rFonts w:ascii="Arial Narrow" w:hAnsi="Arial Narrow"/>
          <w:sz w:val="22"/>
          <w:szCs w:val="22"/>
          <w:lang w:eastAsia="fr-FR"/>
        </w:rPr>
        <w:t xml:space="preserve">, art. </w:t>
      </w:r>
      <w:proofErr w:type="spellStart"/>
      <w:r w:rsidRPr="00244AA8">
        <w:rPr>
          <w:rFonts w:ascii="Arial Narrow" w:hAnsi="Arial Narrow"/>
          <w:sz w:val="22"/>
          <w:szCs w:val="22"/>
          <w:lang w:eastAsia="fr-FR"/>
        </w:rPr>
        <w:t>préc</w:t>
      </w:r>
      <w:proofErr w:type="spellEnd"/>
      <w:r w:rsidRPr="00244AA8">
        <w:rPr>
          <w:rFonts w:ascii="Arial Narrow" w:hAnsi="Arial Narrow"/>
          <w:sz w:val="22"/>
          <w:szCs w:val="22"/>
          <w:lang w:eastAsia="fr-FR"/>
        </w:rPr>
        <w:t>.) : selon quelles modalités</w:t>
      </w:r>
      <w:proofErr w:type="gramStart"/>
      <w:r w:rsidRPr="00244AA8">
        <w:rPr>
          <w:rFonts w:ascii="Arial Narrow" w:hAnsi="Arial Narrow"/>
          <w:sz w:val="22"/>
          <w:szCs w:val="22"/>
          <w:lang w:eastAsia="fr-FR"/>
        </w:rPr>
        <w:t> ?…</w:t>
      </w:r>
      <w:proofErr w:type="gramEnd"/>
    </w:p>
    <w:p w:rsidR="00244AA8" w:rsidRPr="00244AA8" w:rsidRDefault="00244AA8" w:rsidP="00244AA8">
      <w:pPr>
        <w:spacing w:before="120"/>
        <w:outlineLvl w:val="0"/>
        <w:rPr>
          <w:rFonts w:ascii="Arial Narrow" w:hAnsi="Arial Narrow"/>
          <w:sz w:val="22"/>
          <w:szCs w:val="22"/>
        </w:rPr>
      </w:pPr>
    </w:p>
    <w:p w:rsidR="00244AA8" w:rsidRDefault="00244AA8">
      <w:pPr>
        <w:spacing w:before="0"/>
        <w:rPr>
          <w:rFonts w:ascii="Arial Narrow" w:hAnsi="Arial Narrow"/>
          <w:b/>
          <w:bCs/>
          <w:kern w:val="36"/>
          <w:sz w:val="22"/>
          <w:szCs w:val="22"/>
          <w:lang w:eastAsia="fr-FR"/>
        </w:rPr>
      </w:pPr>
      <w:r>
        <w:rPr>
          <w:rFonts w:ascii="Arial Narrow" w:hAnsi="Arial Narrow"/>
          <w:b/>
          <w:bCs/>
          <w:kern w:val="36"/>
          <w:sz w:val="22"/>
          <w:szCs w:val="22"/>
          <w:lang w:eastAsia="fr-FR"/>
        </w:rPr>
        <w:br w:type="page"/>
      </w:r>
    </w:p>
    <w:p w:rsidR="00516913" w:rsidRPr="00516913" w:rsidRDefault="00516913" w:rsidP="004037BF">
      <w:pPr>
        <w:spacing w:before="120"/>
        <w:outlineLvl w:val="0"/>
        <w:rPr>
          <w:rFonts w:ascii="Arial Narrow" w:hAnsi="Arial Narrow"/>
          <w:b/>
          <w:bCs/>
          <w:kern w:val="36"/>
          <w:sz w:val="28"/>
          <w:szCs w:val="28"/>
          <w:lang w:eastAsia="fr-FR"/>
        </w:rPr>
      </w:pPr>
      <w:r w:rsidRPr="00516913">
        <w:rPr>
          <w:rFonts w:ascii="Arial Narrow" w:hAnsi="Arial Narrow"/>
          <w:b/>
          <w:bCs/>
          <w:kern w:val="36"/>
          <w:sz w:val="28"/>
          <w:szCs w:val="28"/>
          <w:lang w:eastAsia="fr-FR"/>
        </w:rPr>
        <w:lastRenderedPageBreak/>
        <w:t xml:space="preserve">Réforme du contentieux de la sécurité sociale et de l’action sociale </w:t>
      </w:r>
    </w:p>
    <w:p w:rsidR="00516913" w:rsidRDefault="00516913" w:rsidP="00244AA8">
      <w:pPr>
        <w:spacing w:before="120"/>
        <w:rPr>
          <w:rFonts w:ascii="Arial Narrow" w:hAnsi="Arial Narrow"/>
          <w:sz w:val="22"/>
          <w:szCs w:val="22"/>
          <w:lang w:eastAsia="fr-FR"/>
        </w:rPr>
      </w:pPr>
      <w:hyperlink r:id="rId31" w:history="1">
        <w:r w:rsidRPr="00516913">
          <w:rPr>
            <w:rFonts w:ascii="Arial Narrow" w:hAnsi="Arial Narrow"/>
            <w:color w:val="0000FF"/>
            <w:sz w:val="22"/>
            <w:szCs w:val="22"/>
            <w:u w:val="single"/>
            <w:lang w:eastAsia="fr-FR"/>
          </w:rPr>
          <w:t>SOCIAL</w:t>
        </w:r>
      </w:hyperlink>
      <w:r w:rsidRPr="00516913">
        <w:rPr>
          <w:rFonts w:ascii="Arial Narrow" w:hAnsi="Arial Narrow"/>
          <w:sz w:val="22"/>
          <w:szCs w:val="22"/>
          <w:lang w:eastAsia="fr-FR"/>
        </w:rPr>
        <w:t xml:space="preserve"> | </w:t>
      </w:r>
      <w:hyperlink r:id="rId32" w:history="1">
        <w:r w:rsidRPr="00516913">
          <w:rPr>
            <w:rFonts w:ascii="Arial Narrow" w:hAnsi="Arial Narrow"/>
            <w:color w:val="0000FF"/>
            <w:sz w:val="22"/>
            <w:szCs w:val="22"/>
            <w:u w:val="single"/>
            <w:lang w:eastAsia="fr-FR"/>
          </w:rPr>
          <w:t>Contrôle et contentieux</w:t>
        </w:r>
      </w:hyperlink>
    </w:p>
    <w:p w:rsidR="00244AA8" w:rsidRDefault="00244AA8" w:rsidP="00244AA8">
      <w:pPr>
        <w:spacing w:before="120"/>
        <w:rPr>
          <w:rFonts w:ascii="Arial Narrow" w:hAnsi="Arial Narrow"/>
          <w:sz w:val="22"/>
          <w:szCs w:val="22"/>
          <w:lang w:eastAsia="fr-FR"/>
        </w:rPr>
      </w:pPr>
      <w:hyperlink r:id="rId33" w:history="1">
        <w:r w:rsidRPr="00535EC3">
          <w:rPr>
            <w:rStyle w:val="Lienhypertexte"/>
            <w:rFonts w:ascii="Arial Narrow" w:hAnsi="Arial Narrow"/>
            <w:sz w:val="22"/>
            <w:szCs w:val="22"/>
            <w:lang w:eastAsia="fr-FR"/>
          </w:rPr>
          <w:t>https://www.dalloz-actualite.fr/dossier/reforme-du-contentieux-de-securite-sociale-et-de-l-action-sociale</w:t>
        </w:r>
      </w:hyperlink>
    </w:p>
    <w:p w:rsidR="00244AA8" w:rsidRPr="00516913" w:rsidRDefault="00244AA8" w:rsidP="00244AA8">
      <w:pPr>
        <w:spacing w:before="120"/>
        <w:rPr>
          <w:rFonts w:ascii="Arial Narrow" w:hAnsi="Arial Narrow"/>
          <w:sz w:val="22"/>
          <w:szCs w:val="22"/>
          <w:lang w:eastAsia="fr-FR"/>
        </w:rPr>
      </w:pP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Pris en application de l’article 12 de la loi n° 2016-1547 du 18 novembre 2016 de modernisation de la justice du 21</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xml:space="preserve"> siècle et de l’article 7 de l’ordonnance n° 2018-358 du 16 mai 2018 relative au traitement juridictionnel du contentieux de la sécurité sociale et de l’aide sociale, un </w:t>
      </w:r>
      <w:hyperlink r:id="rId34" w:tgtFrame="_blank" w:history="1">
        <w:r w:rsidRPr="00516913">
          <w:rPr>
            <w:rFonts w:ascii="Arial Narrow" w:hAnsi="Arial Narrow"/>
            <w:color w:val="0000FF"/>
            <w:sz w:val="22"/>
            <w:szCs w:val="22"/>
            <w:u w:val="single"/>
            <w:lang w:eastAsia="fr-FR"/>
          </w:rPr>
          <w:t>décret n° 2018-928</w:t>
        </w:r>
      </w:hyperlink>
      <w:r w:rsidRPr="00516913">
        <w:rPr>
          <w:rFonts w:ascii="Arial Narrow" w:hAnsi="Arial Narrow"/>
          <w:sz w:val="22"/>
          <w:szCs w:val="22"/>
          <w:lang w:eastAsia="fr-FR"/>
        </w:rPr>
        <w:t xml:space="preserve"> du 29 octobre 2018 relatif au contentieux de la sécurité sociale et de l’aide sociale a été publié au </w:t>
      </w:r>
      <w:r w:rsidRPr="00516913">
        <w:rPr>
          <w:rFonts w:ascii="Arial Narrow" w:hAnsi="Arial Narrow"/>
          <w:i/>
          <w:iCs/>
          <w:sz w:val="22"/>
          <w:szCs w:val="22"/>
          <w:lang w:eastAsia="fr-FR"/>
        </w:rPr>
        <w:t>Journal officiel</w:t>
      </w:r>
      <w:r w:rsidRPr="00516913">
        <w:rPr>
          <w:rFonts w:ascii="Arial Narrow" w:hAnsi="Arial Narrow"/>
          <w:sz w:val="22"/>
          <w:szCs w:val="22"/>
          <w:lang w:eastAsia="fr-FR"/>
        </w:rPr>
        <w:t xml:space="preserve"> du 30 octobre.</w:t>
      </w:r>
    </w:p>
    <w:p w:rsidR="00516913" w:rsidRPr="00516913" w:rsidRDefault="00516913" w:rsidP="00244AA8">
      <w:pPr>
        <w:spacing w:before="120"/>
        <w:rPr>
          <w:rFonts w:ascii="Arial Narrow" w:hAnsi="Arial Narrow"/>
          <w:sz w:val="22"/>
          <w:szCs w:val="22"/>
          <w:lang w:eastAsia="fr-FR"/>
        </w:rPr>
      </w:pPr>
      <w:proofErr w:type="gramStart"/>
      <w:r w:rsidRPr="00516913">
        <w:rPr>
          <w:rFonts w:ascii="Arial Narrow" w:hAnsi="Arial Narrow"/>
          <w:sz w:val="22"/>
          <w:szCs w:val="22"/>
          <w:lang w:eastAsia="fr-FR"/>
        </w:rPr>
        <w:t>par</w:t>
      </w:r>
      <w:proofErr w:type="gramEnd"/>
      <w:r w:rsidRPr="00516913">
        <w:rPr>
          <w:rFonts w:ascii="Arial Narrow" w:hAnsi="Arial Narrow"/>
          <w:sz w:val="22"/>
          <w:szCs w:val="22"/>
          <w:lang w:eastAsia="fr-FR"/>
        </w:rPr>
        <w:t> </w:t>
      </w:r>
      <w:hyperlink r:id="rId35" w:history="1">
        <w:r w:rsidRPr="00516913">
          <w:rPr>
            <w:rFonts w:ascii="Arial Narrow" w:hAnsi="Arial Narrow"/>
            <w:color w:val="0000FF"/>
            <w:sz w:val="22"/>
            <w:szCs w:val="22"/>
            <w:u w:val="single"/>
            <w:lang w:eastAsia="fr-FR"/>
          </w:rPr>
          <w:t xml:space="preserve">Corinne </w:t>
        </w:r>
        <w:proofErr w:type="spellStart"/>
        <w:r w:rsidRPr="00516913">
          <w:rPr>
            <w:rFonts w:ascii="Arial Narrow" w:hAnsi="Arial Narrow"/>
            <w:color w:val="0000FF"/>
            <w:sz w:val="22"/>
            <w:szCs w:val="22"/>
            <w:u w:val="single"/>
            <w:lang w:eastAsia="fr-FR"/>
          </w:rPr>
          <w:t>Bléry</w:t>
        </w:r>
        <w:proofErr w:type="spellEnd"/>
        <w:r w:rsidRPr="00516913">
          <w:rPr>
            <w:rFonts w:ascii="Arial Narrow" w:hAnsi="Arial Narrow"/>
            <w:color w:val="0000FF"/>
            <w:sz w:val="22"/>
            <w:szCs w:val="22"/>
            <w:u w:val="single"/>
            <w:lang w:eastAsia="fr-FR"/>
          </w:rPr>
          <w:t xml:space="preserve"> et Erick </w:t>
        </w:r>
        <w:proofErr w:type="spellStart"/>
        <w:r w:rsidRPr="00516913">
          <w:rPr>
            <w:rFonts w:ascii="Arial Narrow" w:hAnsi="Arial Narrow"/>
            <w:color w:val="0000FF"/>
            <w:sz w:val="22"/>
            <w:szCs w:val="22"/>
            <w:u w:val="single"/>
            <w:lang w:eastAsia="fr-FR"/>
          </w:rPr>
          <w:t>Tamion</w:t>
        </w:r>
      </w:hyperlink>
      <w:r w:rsidRPr="00516913">
        <w:rPr>
          <w:rFonts w:ascii="Arial Narrow" w:hAnsi="Arial Narrow"/>
          <w:sz w:val="22"/>
          <w:szCs w:val="22"/>
          <w:lang w:eastAsia="fr-FR"/>
        </w:rPr>
        <w:t>le</w:t>
      </w:r>
      <w:proofErr w:type="spellEnd"/>
      <w:r w:rsidRPr="00516913">
        <w:rPr>
          <w:rFonts w:ascii="Arial Narrow" w:hAnsi="Arial Narrow"/>
          <w:sz w:val="22"/>
          <w:szCs w:val="22"/>
          <w:lang w:eastAsia="fr-FR"/>
        </w:rPr>
        <w:t xml:space="preserve"> 9 novembre 2018 </w:t>
      </w:r>
    </w:p>
    <w:p w:rsidR="00516913" w:rsidRPr="00516913" w:rsidRDefault="00516913" w:rsidP="004037BF">
      <w:pPr>
        <w:spacing w:before="120"/>
        <w:outlineLvl w:val="1"/>
        <w:rPr>
          <w:rFonts w:ascii="Arial Narrow" w:hAnsi="Arial Narrow"/>
          <w:b/>
          <w:bCs/>
          <w:sz w:val="22"/>
          <w:szCs w:val="22"/>
          <w:lang w:eastAsia="fr-FR"/>
        </w:rPr>
      </w:pPr>
      <w:bookmarkStart w:id="0" w:name="partie_1_1"/>
      <w:r w:rsidRPr="00516913">
        <w:rPr>
          <w:rFonts w:ascii="Arial Narrow" w:hAnsi="Arial Narrow"/>
          <w:b/>
          <w:bCs/>
          <w:sz w:val="22"/>
          <w:szCs w:val="22"/>
          <w:lang w:eastAsia="fr-FR"/>
        </w:rPr>
        <w:t>Le décret « procédure »</w:t>
      </w:r>
      <w:bookmarkEnd w:id="0"/>
      <w:r w:rsidRPr="00516913">
        <w:rPr>
          <w:rFonts w:ascii="Arial Narrow" w:hAnsi="Arial Narrow"/>
          <w:b/>
          <w:bCs/>
          <w:sz w:val="22"/>
          <w:szCs w:val="22"/>
          <w:lang w:eastAsia="fr-FR"/>
        </w:rPr>
        <w:t xml:space="preserv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Nouvelle étape dans la réforme du contentieux de la sécurité sociale et de l’aide sociale après la loi J21 et l’ordonnance du 16 mai 2018 (sur lesquelles, v. Dalloz actualité, 25 mai 2018,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E. </w:t>
      </w:r>
      <w:proofErr w:type="spellStart"/>
      <w:r w:rsidRPr="00516913">
        <w:rPr>
          <w:rFonts w:ascii="Arial Narrow" w:hAnsi="Arial Narrow"/>
          <w:sz w:val="22"/>
          <w:szCs w:val="22"/>
          <w:lang w:eastAsia="fr-FR"/>
        </w:rPr>
        <w:t>Tamion</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6F406E37" wp14:editId="3D0EB668">
            <wp:extent cx="85725" cy="114300"/>
            <wp:effectExtent l="0" t="0" r="9525" b="0"/>
            <wp:docPr id="2" name="Image 2" descr="https://www.dalloz-actualite.fr/sites/all/themes/dallozactu/icons/type_link_flash.png">
              <a:hlinkClick xmlns:a="http://schemas.openxmlformats.org/drawingml/2006/main" r:id="rId8"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alloz-actualite.fr/sites/all/themes/dallozactu/icons/type_link_flash.png">
                      <a:hlinkClick r:id="rId8"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et les références), le décret du 29 octobre « fixe [notamment] les dispositions procédurales applicables aux contestations des décisions des organismes de sécurité sociale, des maisons départementales des personnes handicapées et des autorités administratives intervenant dans le domaine de l’aide sociale, tant dans le cadre du recours préalable que dans celui du recours juridictionnel. Il modifie également le code de l’organisation judiciaire pour préciser le fonctionnement des formations échevinées des tribunaux de grande instance précités et le code de justice administrative pour tenir compte de la suppression de la commission centrale d’aide sociale » (v. notice du décret). Ces recours seront portés, selon les cas, devant les tribunaux de grande instance spécialement désignés en application de l’article L. 211-16 du code de l’organisation judiciaire, les cours d’appel spécialement désignées en application de l’article L. 311-15 (pour le contentieux général et technique – hors tarification de l’assurance des accidents du travail – de la sécurité sociale et le contentieux de l’aide sociale relevant du juge judiciaire ; v. Dalloz actualité, 24 juill. 2018, art. T. </w:t>
      </w:r>
      <w:proofErr w:type="spellStart"/>
      <w:r w:rsidRPr="00516913">
        <w:rPr>
          <w:rFonts w:ascii="Arial Narrow" w:hAnsi="Arial Narrow"/>
          <w:sz w:val="22"/>
          <w:szCs w:val="22"/>
          <w:lang w:eastAsia="fr-FR"/>
        </w:rPr>
        <w:t>Coustet</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15D1237A" wp14:editId="3ACB74D1">
            <wp:extent cx="85725" cy="114300"/>
            <wp:effectExtent l="0" t="0" r="9525" b="0"/>
            <wp:docPr id="3" name="Image 3" descr="https://www.dalloz-actualite.fr/sites/all/themes/dallozactu/icons/type_link_flash.png">
              <a:hlinkClick xmlns:a="http://schemas.openxmlformats.org/drawingml/2006/main" r:id="rId29"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dalloz-actualite.fr/sites/all/themes/dallozactu/icons/type_link_flash.png">
                      <a:hlinkClick r:id="rId29"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 L. </w:t>
      </w:r>
      <w:proofErr w:type="spellStart"/>
      <w:r w:rsidRPr="00516913">
        <w:rPr>
          <w:rFonts w:ascii="Arial Narrow" w:hAnsi="Arial Narrow"/>
          <w:sz w:val="22"/>
          <w:szCs w:val="22"/>
          <w:lang w:eastAsia="fr-FR"/>
        </w:rPr>
        <w:t>Garnerie</w:t>
      </w:r>
      <w:proofErr w:type="spellEnd"/>
      <w:r w:rsidRPr="00516913">
        <w:rPr>
          <w:rFonts w:ascii="Arial Narrow" w:hAnsi="Arial Narrow"/>
          <w:sz w:val="22"/>
          <w:szCs w:val="22"/>
          <w:lang w:eastAsia="fr-FR"/>
        </w:rPr>
        <w:t>, Pôles sociaux : la machine est lancée, Gaz. Pal. 31 juill. 2018, p. 5) ou de l’article L. 311-16 (cour d’appel d’Amiens pour le contentieux technique de la tarification, en premier et dernier ressort), les tribunaux administratifs et les cours administratives d’appel, pour le contentieux relevant de l’ordre administratif (que nous ne traiterons pas ici). Ajoutons que l’article R. 142-15 du code de la sécurité sociale reconduit en substance les règles en vigueur posées à l’article R. 144-7 et dispose que « le pourvoi contre les décisions rendues en dernier ressort et les arrêts de cours d’appel est formé par ministère d’un avocat au Conseil d’État et à la Cour de cassation. Il est instruit et jugé conformément aux règles de la procédure ordinaire dans la mesure où elles ne sont pas contraires aux dispositions du présent chapitre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L’entrée en vigueur du décret est prévue au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janvier 2019, date à laquelle la loi J21 a prévu « au plus tard » la suppression des actuelles juridictions judiciaires et administratives connaissant du contentieux de la sécurité sociale et de l’aide sociale. Ceci sous quelques réserves, dont le maintien de la Cour nationale de l’incapacité et de la tarification de l’assurance des accidents du travail (CNITAAT) pendant au moins deux ans pour continuer de connaître des affaires en cours (v. Dalloz actualité, 25 mai 2018, obs. </w:t>
      </w:r>
      <w:proofErr w:type="spellStart"/>
      <w:r w:rsidRPr="00516913">
        <w:rPr>
          <w:rFonts w:ascii="Arial Narrow" w:hAnsi="Arial Narrow"/>
          <w:sz w:val="22"/>
          <w:szCs w:val="22"/>
          <w:lang w:eastAsia="fr-FR"/>
        </w:rPr>
        <w:t>préc</w:t>
      </w:r>
      <w:proofErr w:type="spellEnd"/>
      <w:r w:rsidRPr="00516913">
        <w:rPr>
          <w:rFonts w:ascii="Arial Narrow" w:hAnsi="Arial Narrow"/>
          <w:sz w:val="22"/>
          <w:szCs w:val="22"/>
          <w:lang w:eastAsia="fr-FR"/>
        </w:rPr>
        <w:t xml:space="preserve">. ; v. </w:t>
      </w:r>
      <w:proofErr w:type="spellStart"/>
      <w:r w:rsidRPr="00516913">
        <w:rPr>
          <w:rFonts w:ascii="Arial Narrow" w:hAnsi="Arial Narrow"/>
          <w:sz w:val="22"/>
          <w:szCs w:val="22"/>
          <w:lang w:eastAsia="fr-FR"/>
        </w:rPr>
        <w:t>décr</w:t>
      </w:r>
      <w:proofErr w:type="spellEnd"/>
      <w:r w:rsidRPr="00516913">
        <w:rPr>
          <w:rFonts w:ascii="Arial Narrow" w:hAnsi="Arial Narrow"/>
          <w:sz w:val="22"/>
          <w:szCs w:val="22"/>
          <w:lang w:eastAsia="fr-FR"/>
        </w:rPr>
        <w:t xml:space="preserve">. </w:t>
      </w:r>
      <w:proofErr w:type="gramStart"/>
      <w:r w:rsidRPr="00516913">
        <w:rPr>
          <w:rFonts w:ascii="Arial Narrow" w:hAnsi="Arial Narrow"/>
          <w:sz w:val="22"/>
          <w:szCs w:val="22"/>
          <w:lang w:eastAsia="fr-FR"/>
        </w:rPr>
        <w:t>n</w:t>
      </w:r>
      <w:proofErr w:type="gramEnd"/>
      <w:r w:rsidRPr="00516913">
        <w:rPr>
          <w:rFonts w:ascii="Arial Narrow" w:hAnsi="Arial Narrow"/>
          <w:sz w:val="22"/>
          <w:szCs w:val="22"/>
          <w:lang w:eastAsia="fr-FR"/>
        </w:rPr>
        <w:t>° 2018-928, art. 16 et 17, qui organisent le transfert des affaires en cours et le suivi des dossiers).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chapitre 2 du titre IV du livre I</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(partie réglementaire) du code de la sécurité sociale, auquel renvoient l’article 1441-4 du code de procédure civile et l’article R. 134-1 du code de l’action sociale et des familles, met en œuvre une procédure orale particulière devant les juridictions judiciaires spécialisées (CSS, art. R. 142-10-4, R. 142-11 et R. 142-13-3). Bien que relevant désormais du tribunal de grande instance, où la procédure est – sauf exception (référé, JAF, JEX, etc.) – écrite, la procédure en matière de sécurité sociale garde donc sa nature, sans doute en grande partie parce que la représentation par avocat n’est pas obligatoire – là aussi par dérogation à la règle devant ce tribunal. Malgré des hésitations – et un retour au choix initial du pouvoir réglementaire (L. </w:t>
      </w:r>
      <w:proofErr w:type="spellStart"/>
      <w:r w:rsidRPr="00516913">
        <w:rPr>
          <w:rFonts w:ascii="Arial Narrow" w:hAnsi="Arial Narrow"/>
          <w:sz w:val="22"/>
          <w:szCs w:val="22"/>
          <w:lang w:eastAsia="fr-FR"/>
        </w:rPr>
        <w:t>Garnerie</w:t>
      </w:r>
      <w:proofErr w:type="spellEnd"/>
      <w:r w:rsidRPr="00516913">
        <w:rPr>
          <w:rFonts w:ascii="Arial Narrow" w:hAnsi="Arial Narrow"/>
          <w:sz w:val="22"/>
          <w:szCs w:val="22"/>
          <w:lang w:eastAsia="fr-FR"/>
        </w:rPr>
        <w:t xml:space="preserve">, Pôles sociaux : la machine est lancée, Gaz. Pal. 31 juill. 2018, p. 5 ; v. </w:t>
      </w:r>
      <w:r w:rsidRPr="00516913">
        <w:rPr>
          <w:rFonts w:ascii="Arial Narrow" w:hAnsi="Arial Narrow"/>
          <w:i/>
          <w:iCs/>
          <w:sz w:val="22"/>
          <w:szCs w:val="22"/>
          <w:lang w:eastAsia="fr-FR"/>
        </w:rPr>
        <w:t>infra</w:t>
      </w:r>
      <w:r w:rsidRPr="00516913">
        <w:rPr>
          <w:rFonts w:ascii="Arial Narrow" w:hAnsi="Arial Narrow"/>
          <w:sz w:val="22"/>
          <w:szCs w:val="22"/>
          <w:lang w:eastAsia="fr-FR"/>
        </w:rPr>
        <w:t>) –, la procédure d’appel ne sera pas alignée sur celle des appels prud’homaux qui relèvent depuis 2016 de la procédure avec représentation obligatoire – avec la particularité que les justiciables peuvent être représentés également par un défenseur syndical. Les avocats ne vont sûrement pas apprécier… Il nous semble même que, plus largement, le pouvoir réglementaire aurait pu profiter de la réforme pour étendre la représentation obligatoire par avocat au contentieux de la sécurité sociale non seulement en appel mais aussi en première instance – extension souhaitée par le rapport Molfessis/Agostini (p. 68 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lastRenderedPageBreak/>
        <w:t>Le chapitre 2, désormais intitulé « Contentieux général et technique de la sécurité sociale et contentieux de l’admission à l’aide sociale », remplace les actuels chapitres 2, 3 et 4 (</w:t>
      </w:r>
      <w:proofErr w:type="spellStart"/>
      <w:r w:rsidRPr="00516913">
        <w:rPr>
          <w:rFonts w:ascii="Arial Narrow" w:hAnsi="Arial Narrow"/>
          <w:sz w:val="22"/>
          <w:szCs w:val="22"/>
          <w:lang w:eastAsia="fr-FR"/>
        </w:rPr>
        <w:t>décr</w:t>
      </w:r>
      <w:proofErr w:type="spellEnd"/>
      <w:r w:rsidRPr="00516913">
        <w:rPr>
          <w:rFonts w:ascii="Arial Narrow" w:hAnsi="Arial Narrow"/>
          <w:sz w:val="22"/>
          <w:szCs w:val="22"/>
          <w:lang w:eastAsia="fr-FR"/>
        </w:rPr>
        <w:t>., art. 2) – les deux derniers étant abrogés, sous réserve des dispositions transitoires prévues aux articles 16 et 17 (art. 11, 2°), sur le modèle de la réorganisation opérée par la loi J21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J21 : à propos de la réforme du contentieux de la Sécurité sociale et de l’action sociale, Gaz. Pal. 31 janv. 2017, p. 72 s., n° 6 et Dalloz actualité, 25 mai 2018, obs. </w:t>
      </w:r>
      <w:proofErr w:type="spellStart"/>
      <w:r w:rsidRPr="00516913">
        <w:rPr>
          <w:rFonts w:ascii="Arial Narrow" w:hAnsi="Arial Narrow"/>
          <w:sz w:val="22"/>
          <w:szCs w:val="22"/>
          <w:lang w:eastAsia="fr-FR"/>
        </w:rPr>
        <w:t>préc</w:t>
      </w:r>
      <w:proofErr w:type="spellEnd"/>
      <w:r w:rsidRPr="00516913">
        <w:rPr>
          <w:rFonts w:ascii="Arial Narrow" w:hAnsi="Arial Narrow"/>
          <w:sz w:val="22"/>
          <w:szCs w:val="22"/>
          <w:lang w:eastAsia="fr-FR"/>
        </w:rPr>
        <w:t>.).</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142-1-A-II nouveau précise que, « sous réserve des dispositions particulières prévues par le présent chapitre, les demandes portées devant les juridictions spécialement désignées en application des articles L. 211-16, L. 311-15 et L. 311-16 du code de l’organisation judiciaire sont formées, instruites et jugées, au fond comme en référé, selon les dispositions du code de procédure civile ». Cette règle s’étend désormais à l’ensemble du contentieux de l’aide sociale qui relève du juge judiciaire. Cela réalise une unification du traitement procédural des contentieux, celui de la tarification conservant une spécificité plus marquée. On peut penser que les articles 484 et suivants et 808 et suivants du code de procédure civile seront applicables au référé même dans le silence de l’article R. 142-1-A-II, y compris l’article 811, prévoyant une passerelle vers le juge du fond. Alors qu’il n’y avait pas de référé devant le tribunal du contentieux de l’incapacité, le contentieux technique dont connaîtra le tribunal de grande instance (TGI) spécialisé en bénéficiera, puisqu’il n’est pas exclu. Autant dire que le président du TGI spécialisé statuera dans les limites de sa compétence qui englobe désormais le contentieux général, le contentieux technique et une partie du contentieux de l’action sociale.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Cette procédure orale méritera d’être détaillée tant pour le contentieux hors tarification que pour celui de la tarification, en même temps que le recours préalable obligatoire et le régime des mesures d’instruction (v. partie suivantes).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Au-delà, le texte précise plusieurs </w:t>
      </w:r>
      <w:proofErr w:type="spellStart"/>
      <w:r w:rsidRPr="00516913">
        <w:rPr>
          <w:rFonts w:ascii="Arial Narrow" w:hAnsi="Arial Narrow"/>
          <w:sz w:val="22"/>
          <w:szCs w:val="22"/>
          <w:lang w:eastAsia="fr-FR"/>
        </w:rPr>
        <w:t>questionstribunal</w:t>
      </w:r>
      <w:proofErr w:type="spellEnd"/>
      <w:r w:rsidRPr="00516913">
        <w:rPr>
          <w:rFonts w:ascii="Arial Narrow" w:hAnsi="Arial Narrow"/>
          <w:sz w:val="22"/>
          <w:szCs w:val="22"/>
          <w:lang w:eastAsia="fr-FR"/>
        </w:rPr>
        <w:t xml:space="preserve"> de grande </w:t>
      </w:r>
      <w:proofErr w:type="gramStart"/>
      <w:r w:rsidRPr="00516913">
        <w:rPr>
          <w:rFonts w:ascii="Arial Narrow" w:hAnsi="Arial Narrow"/>
          <w:sz w:val="22"/>
          <w:szCs w:val="22"/>
          <w:lang w:eastAsia="fr-FR"/>
        </w:rPr>
        <w:t>instance:</w:t>
      </w:r>
      <w:proofErr w:type="gramEnd"/>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Régime commun des décisions contestées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Avec l’introduction par le décret n° 2018-928 d’un article R. 142-1-A, dans la section 1 « Dispositions générales », qui jusque-là n’en comprenait pas, le régime des décisions prises par les autorités administratives et les organismes sociaux, à l’égard des assurés, des cotisants ou des bénéficiaires de prestations, se trouve mieux défini dans le code de la sécurité sociale. Ces décisions concernent pour la plupart des actes émanant de personnes de droit privé (organismes sociaux) chargées de missions de service public. Ce texte englobe les décisions rendues dans le cadre des recours amiables, généralement par la commission qui est une émanation du conseil d’administration de l’organisme social. En prévoyant que toutes ces décisions sont par principe régies par les dispositions du code des relations du public avec l’administration (CRPA), le décret du 29 octobre 2018 participe à un meilleur encadrement du régime de ces nombreuses décisions, en posant leurs principes essentiels, ceux d’une motivation, d’une notification par tout moyen conférant date certaine et d’une information sur les délais et voies de recours préalable et contentieux lors de la notification. En cas de manquement à ces informations, les délais de recours préalable et contentieux, qui sont de deux mois chacun, ne seront pas opposables, donc susceptibles de rendre le recours irrecevable.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Jusqu’à présent, l’accent était insuffisamment mis dans le code de la sécurité sociale sur l’obligation de motiver, seul l’article L. 115-3, qui est maintenu, apparaissait comme noyé dans des dispositions diverses en se limitant à un renvoi au CRPA, lequel s’applique très clairement aux organismes sociaux (v. CRPA, art. L. 100-3). À cet égard, rappelons que les principes concernant la motivation des décisions des organismes de sécurité sociale sont précisément posés par les articles L. 211-7 et L. 211-8 du CRPA, qui visent les décisions individuelles de refus relatives à l’attribution d’un droit, d’une aide ou d’une subvention ou prévoyant le reversement de prestations sociales indûment perçues, ou par l’article L. 211-2 du même code en ce qui concerne les décisions des autorités administratives en matière d’aide sociale.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Principales modifications au CASF</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Les principales modifications du code de l’action sociale et des familles (CASF) relatives au contentieux de l’admission à l’aide sociale ont été mises en œuvre par la loi J21 modifiée. Le décret du 29 octobre 2018 opère quelques adaptations textuelles nécessaires pour la cohérence de la partie réglementaire. On retiendra cependant deux modifications. La première concerne le tribunal administratif de Paris reconnu compétent au plan national pour statuer en lieu et place de la commission centrale d’aide sociale, d’une part sur le désaccord entre un président de conseil départemental et un préfet de département lorsque l’un et l’autre estiment que la demande d’admission à l’aide sociale (dont l’un d’eux a été saisi en premier) ne relève pas de leur compétence, </w:t>
      </w:r>
      <w:r w:rsidRPr="00516913">
        <w:rPr>
          <w:rFonts w:ascii="Arial Narrow" w:hAnsi="Arial Narrow"/>
          <w:sz w:val="22"/>
          <w:szCs w:val="22"/>
          <w:lang w:eastAsia="fr-FR"/>
        </w:rPr>
        <w:lastRenderedPageBreak/>
        <w:t>mais de l’État pour le département collectivité territoriale ou inversement, et d’autre part pour trancher le désaccord entre deux présidents de conseils départementaux, lorsque pour un demandeur à une aide sociale chacun estime qu’il a son domicile de secours dans l’autre département (v. CASF, art. R. 131-8). La seconde modification notable du CASF concerne la création d’un recours préalable obligatoire à l’encontre des décisions de la commission des droits et de l’autonomie des personnes handicapées (v. art. R. 241-35 à R. 241-41). Ce recours doit être adressé à la maison départementale des personnes handicapées (MDPH) et sera examiné par la même commission, qui est caractérisée par une composition pluridisciplinaire difficile à remplacer. Par ailleurs, il n’est pas illogique que le même organe de décision se prononce à nouveau, étant donné que le recours préalable obligatoire, fondé sur une exigence de procédure, se substitue au recours gracieux. Il a été retenu que l’examen du recours devait être fait selon les mêmes modalités que lors de la décision initiale, mais surtout que la commission pourra tenir compte de l’évolution de la situation du requérant par une nouvelle évaluation de l’équipe pluridisciplinaire, ce qui est donc réaliste et efficace.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Fin de la gratuité</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Jusqu’à présent, la procédure devant les juridictions de premier degré de la sécurité sociale et de l’aide sociale (TASS, TCI et CDAS) était gratuite selon le principe affirmé en particulier à l’article R. 144-10 du code de la sécurité sociale (CSS) qui est abrogé. En application de ce principe, les juridictions n’avaient pas à statuer sur les dépens, ce qui n’empêchait pas pour autant l’octroi d’indemnités au titre de l’article 700 du code de procédure civile. Toutes les dépenses contentieuses entrant normalement dans les dépens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xml:space="preserve">. civ., art. 695) étaient prises en charge par les organismes sociaux selon les prescriptions de l’article L. 144-5 du CSS (devant être abrogé par la loi J21) et n’étaient pas réclamées en raison du principe de gratuité de la procédure, dont l’origine est à rechercher dans l’histoire des juridictions de sécurité sociale et de son financement par la sécurité sociale. La Cour de cassation avait elle-même opté pour une définition large de la gratuité (v. par ex. </w:t>
      </w:r>
      <w:proofErr w:type="spellStart"/>
      <w:r w:rsidRPr="00516913">
        <w:rPr>
          <w:rFonts w:ascii="Arial Narrow" w:hAnsi="Arial Narrow"/>
          <w:sz w:val="22"/>
          <w:szCs w:val="22"/>
          <w:lang w:eastAsia="fr-FR"/>
        </w:rPr>
        <w:t>Civ</w:t>
      </w:r>
      <w:proofErr w:type="spellEnd"/>
      <w:r w:rsidRPr="00516913">
        <w:rPr>
          <w:rFonts w:ascii="Arial Narrow" w:hAnsi="Arial Narrow"/>
          <w:sz w:val="22"/>
          <w:szCs w:val="22"/>
          <w:lang w:eastAsia="fr-FR"/>
        </w:rPr>
        <w:t>. 2</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xml:space="preserve">, 17 avr. 2008, n° 06-21.859, D. 2008. 1354 </w:t>
      </w:r>
      <w:r w:rsidRPr="00516913">
        <w:rPr>
          <w:rFonts w:ascii="Arial Narrow" w:hAnsi="Arial Narrow"/>
          <w:noProof/>
          <w:color w:val="0000FF"/>
          <w:sz w:val="22"/>
          <w:szCs w:val="22"/>
          <w:lang w:eastAsia="fr-FR"/>
        </w:rPr>
        <w:drawing>
          <wp:inline distT="0" distB="0" distL="0" distR="0" wp14:anchorId="134ABD97" wp14:editId="3D3464F1">
            <wp:extent cx="114300" cy="123825"/>
            <wp:effectExtent l="0" t="0" r="0" b="9525"/>
            <wp:docPr id="4" name="Image 4" descr="https://www.dalloz-actualite.fr/sites/all/themes/dallozactu/icons/type_dalloz_fr_link.png">
              <a:hlinkClick xmlns:a="http://schemas.openxmlformats.org/drawingml/2006/main" r:id="rId36"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dalloz-actualite.fr/sites/all/themes/dallozactu/icons/type_dalloz_fr_link.png">
                      <a:hlinkClick r:id="rId36"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w:t>
      </w:r>
      <w:r w:rsidRPr="00516913">
        <w:rPr>
          <w:rFonts w:ascii="Arial Narrow" w:hAnsi="Arial Narrow"/>
          <w:i/>
          <w:iCs/>
          <w:sz w:val="22"/>
          <w:szCs w:val="22"/>
          <w:lang w:eastAsia="fr-FR"/>
        </w:rPr>
        <w:t>ibid.</w:t>
      </w:r>
      <w:r w:rsidRPr="00516913">
        <w:rPr>
          <w:rFonts w:ascii="Arial Narrow" w:hAnsi="Arial Narrow"/>
          <w:sz w:val="22"/>
          <w:szCs w:val="22"/>
          <w:lang w:eastAsia="fr-FR"/>
        </w:rPr>
        <w:t xml:space="preserve"> 2373, </w:t>
      </w:r>
      <w:proofErr w:type="spellStart"/>
      <w:r w:rsidRPr="00516913">
        <w:rPr>
          <w:rFonts w:ascii="Arial Narrow" w:hAnsi="Arial Narrow"/>
          <w:sz w:val="22"/>
          <w:szCs w:val="22"/>
          <w:lang w:eastAsia="fr-FR"/>
        </w:rPr>
        <w:t>chron</w:t>
      </w:r>
      <w:proofErr w:type="spellEnd"/>
      <w:r w:rsidRPr="00516913">
        <w:rPr>
          <w:rFonts w:ascii="Arial Narrow" w:hAnsi="Arial Narrow"/>
          <w:sz w:val="22"/>
          <w:szCs w:val="22"/>
          <w:lang w:eastAsia="fr-FR"/>
        </w:rPr>
        <w:t xml:space="preserve">. J.-M. Sommer et C. </w:t>
      </w:r>
      <w:proofErr w:type="spellStart"/>
      <w:r w:rsidRPr="00516913">
        <w:rPr>
          <w:rFonts w:ascii="Arial Narrow" w:hAnsi="Arial Narrow"/>
          <w:sz w:val="22"/>
          <w:szCs w:val="22"/>
          <w:lang w:eastAsia="fr-FR"/>
        </w:rPr>
        <w:t>Nicoletis</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3557FB29" wp14:editId="06B93089">
            <wp:extent cx="114300" cy="123825"/>
            <wp:effectExtent l="0" t="0" r="0" b="9525"/>
            <wp:docPr id="5" name="Image 5" descr="https://www.dalloz-actualite.fr/sites/all/themes/dallozactu/icons/type_dalloz_fr_link.png">
              <a:hlinkClick xmlns:a="http://schemas.openxmlformats.org/drawingml/2006/main" r:id="rId37"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dalloz-actualite.fr/sites/all/themes/dallozactu/icons/type_dalloz_fr_link.png">
                      <a:hlinkClick r:id="rId37"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Dorénavant, les juridictions devront statuer sur les dépens en fonction des règles de droit commun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696).</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De quelques évolutions de l’échevinage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Les tribunaux de grande instance spécialement désignés pour connaître du contentieux de la sécurité sociale et de l’admission à l’aide sociale bénéficient d’une composition échevinale calquée sur les juridictions de sécurité sociale, en particulier le tribunal des affaires de sécurité sociale. La loi J21 a défini les principales règles de cette composition, ainsi que les conditions et obligations des assesseurs (COJ, art. L. 218-1 à L. 218-12). On notera que le fonctionnement collégial de la juridiction est renforcé en ce sens qu’il n’est pas prévu, comme devant le tribunal des affaires de sécurité sociale (TASS) (CSS, art. L. 142-7 contenu au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janvier 2019) que le président puisse statuer seul avec l’accord des parties lorsque la juridiction ne peut pas siéger dans sa formation complète. Cela étant, les dispositions finales et transitoires du décret prévoient que le président du TGI pourra, jusqu’au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septembre 2019, statuer seul avec l’accord des parties, en cas d’absence d’assesseurs mais aussi de vacance ou de récusation (art. 17 VIII).</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cadre légal de l’échevinage a été complété par le décret du 29 octobre 2018 qui a introduit un nouveau chapitre à la partie réglementaire du code de l’organisation judiciaire (COJ, art. R. 218-1 à R. 218-12). L’apport essentiel de ces dispositions concerne les précisions apportées quant aux autorités qui interviennent dans le processus de désignation des assesseurs. Le premier président de la cour d’appel est à la fois compétent pour fixer le nombre d’assesseurs (titulaires et suppléants) des TGI désignés de son ressort, et les désigner en dernier lieu. Entre ces deux prérogatives, il appartient désormais au préfet du département siège du tribunal de grande instance de transmettre au premier président la liste des candidatures aux fonctions d’assesseurs, à partir de laquelle il pourra désigner pour une durée de trois ans renouvelable les assesseurs, après avoir recueilli l’avis du président du TGI. Le préfet établit cette liste après avoir demandé au directeur régional des entreprises, de la concurrence, de la consommation du travail et de l’emploi pour les professions non agricoles et du directeur régional de l’alimentation, de l’agriculture et de la forêt pour les professions agricoles, de déterminer les organisations professionnelles les plus représentatives dans le ressort du tribunal, ainsi que le nombre de personnes devant être présentées par chaque organisation, ce qui semble de nature à parer à certaines difficultés de représentativité, en particulier des organisations pouvant se présenter pour la circonstance et sans réel ancrage dans l’environnement économique et social.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i/>
          <w:iCs/>
          <w:sz w:val="22"/>
          <w:szCs w:val="22"/>
          <w:lang w:eastAsia="fr-FR"/>
        </w:rPr>
        <w:t>C. B. et E. T.</w:t>
      </w:r>
    </w:p>
    <w:p w:rsidR="00516913" w:rsidRPr="00516913" w:rsidRDefault="00516913" w:rsidP="004037BF">
      <w:pPr>
        <w:spacing w:before="120"/>
        <w:outlineLvl w:val="1"/>
        <w:rPr>
          <w:rFonts w:ascii="Arial Narrow" w:hAnsi="Arial Narrow"/>
          <w:b/>
          <w:bCs/>
          <w:sz w:val="22"/>
          <w:szCs w:val="22"/>
          <w:lang w:eastAsia="fr-FR"/>
        </w:rPr>
      </w:pPr>
      <w:bookmarkStart w:id="1" w:name="partie_1_2"/>
      <w:r w:rsidRPr="00516913">
        <w:rPr>
          <w:rFonts w:ascii="Arial Narrow" w:hAnsi="Arial Narrow"/>
          <w:b/>
          <w:bCs/>
          <w:sz w:val="22"/>
          <w:szCs w:val="22"/>
          <w:lang w:eastAsia="fr-FR"/>
        </w:rPr>
        <w:lastRenderedPageBreak/>
        <w:t>Contentieux hors tarification</w:t>
      </w:r>
      <w:bookmarkEnd w:id="1"/>
      <w:r w:rsidRPr="00516913">
        <w:rPr>
          <w:rFonts w:ascii="Arial Narrow" w:hAnsi="Arial Narrow"/>
          <w:b/>
          <w:bCs/>
          <w:sz w:val="22"/>
          <w:szCs w:val="22"/>
          <w:lang w:eastAsia="fr-FR"/>
        </w:rPr>
        <w:t xml:space="preserv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Procédure devant les TGI spécialement désignés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paragraphe 1 annonce régir la procédure de première instance, mais commence par la compétence territoriale (la compétence d’attribution ayant été définie par la loi J21.</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C’est ainsi que le très long article R. 142-10 détermine quel tribunal de grande instance spécialisé est territorialement compétent. Le principe est celui qui prévaut aujourd’hui pour le TASS (v. auj. art. R. 142-12), à savoir que « le tribunal compétent est celui dans le ressort duquel se trouve le domicile du bénéficiaire ou de l’employeur intéressé ou le siège de l’organisme défendeur en cas de conflit entre organismes ayant leur siège dans le ressort de juridictions différentes » (art. R. 142-10, al.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Une liste de compétences dérogatoires suit, qui reprend celles actuellement prévues par l’article R. 142-12 (art. R. 142-10, al. 2, 1° à 7°) ; sont ajoutées des compétences spéciales au contentieux de l’aide sociale (art. R. 142-10, al. 2, 8° à 10°).</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Un dernier alinéa reconduit, en la reformulant, une règle posée à l’article R. 143-3 : « lorsque le domicile du demandeur est situé à l’étranger, le tribunal compétent est celui dans le ressort duquel se trouve le siège de l’organisme de sécurité sociale de l’autorité administrative [</w:t>
      </w:r>
      <w:r w:rsidRPr="00516913">
        <w:rPr>
          <w:rFonts w:ascii="Arial Narrow" w:hAnsi="Arial Narrow"/>
          <w:i/>
          <w:iCs/>
          <w:sz w:val="22"/>
          <w:szCs w:val="22"/>
          <w:lang w:eastAsia="fr-FR"/>
        </w:rPr>
        <w:t>sic</w:t>
      </w:r>
      <w:r w:rsidRPr="00516913">
        <w:rPr>
          <w:rFonts w:ascii="Arial Narrow" w:hAnsi="Arial Narrow"/>
          <w:sz w:val="22"/>
          <w:szCs w:val="22"/>
          <w:lang w:eastAsia="fr-FR"/>
        </w:rPr>
        <w:t>] ou de la maison départementale des personnes handicapées » (art. R. 142-10, al. 3).</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Les articles R. 142-10-1 à R. 142-10-8, eux, concernent véritablement la procédure (sur la procédure actuelle, v. D. d’Ambra, </w:t>
      </w:r>
      <w:r w:rsidRPr="00516913">
        <w:rPr>
          <w:rFonts w:ascii="Arial Narrow" w:hAnsi="Arial Narrow"/>
          <w:i/>
          <w:iCs/>
          <w:sz w:val="22"/>
          <w:szCs w:val="22"/>
          <w:lang w:eastAsia="fr-FR"/>
        </w:rPr>
        <w:t>in </w:t>
      </w:r>
      <w:r w:rsidRPr="00516913">
        <w:rPr>
          <w:rFonts w:ascii="Arial Narrow" w:hAnsi="Arial Narrow"/>
          <w:sz w:val="22"/>
          <w:szCs w:val="22"/>
          <w:lang w:eastAsia="fr-FR"/>
        </w:rPr>
        <w:t>S. Guinchard [</w:t>
      </w:r>
      <w:proofErr w:type="spellStart"/>
      <w:r w:rsidRPr="00516913">
        <w:rPr>
          <w:rFonts w:ascii="Arial Narrow" w:hAnsi="Arial Narrow"/>
          <w:sz w:val="22"/>
          <w:szCs w:val="22"/>
          <w:lang w:eastAsia="fr-FR"/>
        </w:rPr>
        <w:t>dir</w:t>
      </w:r>
      <w:proofErr w:type="spellEnd"/>
      <w:r w:rsidRPr="00516913">
        <w:rPr>
          <w:rFonts w:ascii="Arial Narrow" w:hAnsi="Arial Narrow"/>
          <w:sz w:val="22"/>
          <w:szCs w:val="22"/>
          <w:lang w:eastAsia="fr-FR"/>
        </w:rPr>
        <w:t>.], </w:t>
      </w:r>
      <w:r w:rsidRPr="00516913">
        <w:rPr>
          <w:rFonts w:ascii="Arial Narrow" w:hAnsi="Arial Narrow"/>
          <w:i/>
          <w:iCs/>
          <w:sz w:val="22"/>
          <w:szCs w:val="22"/>
          <w:lang w:eastAsia="fr-FR"/>
        </w:rPr>
        <w:t>Droit et pratique de la procédure civile. Droits interne et européen 2017/2018</w:t>
      </w:r>
      <w:r w:rsidRPr="00516913">
        <w:rPr>
          <w:rFonts w:ascii="Arial Narrow" w:hAnsi="Arial Narrow"/>
          <w:sz w:val="22"/>
          <w:szCs w:val="22"/>
          <w:lang w:eastAsia="fr-FR"/>
        </w:rPr>
        <w:t>, 9</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xml:space="preserve"> éd., Dalloz Action, 2016, n</w:t>
      </w:r>
      <w:r w:rsidRPr="00516913">
        <w:rPr>
          <w:rFonts w:ascii="Arial Narrow" w:hAnsi="Arial Narrow"/>
          <w:sz w:val="22"/>
          <w:szCs w:val="22"/>
          <w:vertAlign w:val="superscript"/>
          <w:lang w:eastAsia="fr-FR"/>
        </w:rPr>
        <w:t>os</w:t>
      </w:r>
      <w:r w:rsidRPr="00516913">
        <w:rPr>
          <w:rFonts w:ascii="Arial Narrow" w:hAnsi="Arial Narrow"/>
          <w:sz w:val="22"/>
          <w:szCs w:val="22"/>
          <w:lang w:eastAsia="fr-FR"/>
        </w:rPr>
        <w:t> 336.10 s. TASS et n</w:t>
      </w:r>
      <w:r w:rsidRPr="00516913">
        <w:rPr>
          <w:rFonts w:ascii="Arial Narrow" w:hAnsi="Arial Narrow"/>
          <w:sz w:val="22"/>
          <w:szCs w:val="22"/>
          <w:vertAlign w:val="superscript"/>
          <w:lang w:eastAsia="fr-FR"/>
        </w:rPr>
        <w:t>os</w:t>
      </w:r>
      <w:r w:rsidRPr="00516913">
        <w:rPr>
          <w:rFonts w:ascii="Arial Narrow" w:hAnsi="Arial Narrow"/>
          <w:sz w:val="22"/>
          <w:szCs w:val="22"/>
          <w:lang w:eastAsia="fr-FR"/>
        </w:rPr>
        <w:t> 336.151 s. pour le TCI).</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TGI spécialisé « est saisi par requête remise ou adressée au greffe par lettre recommandée avec avis de réception » (art. R. 142-10-1, al.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C’est aujourd’hui une « simple requête déposée au secrétariat ou adressée par lettre recommandée avec demande d’avis de réception » qui introduit l’instance devant le pour le tribunal des affaires de sécurité sociale (TASS) (actuel art. R. 142-18), mais il a été jugé que la saisine était valablement réalisée par lettre simple (D. d’Ambra, </w:t>
      </w:r>
      <w:proofErr w:type="spellStart"/>
      <w:r w:rsidRPr="00516913">
        <w:rPr>
          <w:rFonts w:ascii="Arial Narrow" w:hAnsi="Arial Narrow"/>
          <w:sz w:val="22"/>
          <w:szCs w:val="22"/>
          <w:lang w:eastAsia="fr-FR"/>
        </w:rPr>
        <w:t>préc</w:t>
      </w:r>
      <w:proofErr w:type="spellEnd"/>
      <w:r w:rsidRPr="00516913">
        <w:rPr>
          <w:rFonts w:ascii="Arial Narrow" w:hAnsi="Arial Narrow"/>
          <w:sz w:val="22"/>
          <w:szCs w:val="22"/>
          <w:lang w:eastAsia="fr-FR"/>
        </w:rPr>
        <w:t>., n° 336.62). C’est une « déclaration faite, remise ou adressée au secrétariat » qui introduit l’instance devant le tribunal du contentieux de l’incapacité (art. R. 143-7). C’est donc l’acte introductif de l’instance devant le TASS qui a la faveur du législateur. En pratique, cela ne change rien, puisque les deux sont définies par l’article 58,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du code de procédure civile comme étant « l’acte par lequel le demandeur saisit la juridiction sans que son adversaire en ait été préalablement informé ». Elles ont le même régime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58, al. 2. à 4). La jurisprudence sur la lettre simple devrait pouvoir être maintenue.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délai de saisine du TASS et du tribunal du contentieux de l’incapacité (TCI) – de deux mois – vaut désormais pour le TGI spécialisé. Il en est de même de son point de départ, si ce n’est que le recours amiable préalable obligatoire a été étendu au contentieux technique hors tarification (art. L. 142-5, issu de la loi J21 ; v. aussi CASF, art. L. 134-2, également issu de la loi J21) et que le délai de rejet implicite est allongé à deux mois au lieu d’un (actuel art. R. 142-6). La sanction, à savoir la forclusion (actuels art. 142-18 et art. 143-7), est également reconduite.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L’alinéa 2 de l’article R. 142-10-1 limite cependant l’opposabilité de la forclusion reconduisant une règle déjà codifiée : outre que la forclusion ne peut être opposée au demandeur que si la notification de cette décision porte mention des délais et voies de recours » (v. art. 142-1-A-III créé et actuel art. R. 143-31, « la forclusion tirée de l’expiration du délai de recours ne peut être opposée au demandeur ayant contesté une décision implicite de rejet au seul motif de l’absence de saisine du tribunal contestant la décision explicite intervenue en cours d’instance » (v., pour le TASS, l’actuel art. R. 142-18, alinéa 3, issu du décret n° 2016-941 du 8 juill. 2016).</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En revanche n’est pas reprise l’exception, prévue à l’article R. 142-18, alinéa 2, à savoir que « la forclusion ne peut être invoquée toutes les fois que le recours a été introduit dans les délais soit auprès d’une autorité administrative, soit auprès d’un organisme de sécurité sociale ou de mutualité sociale agricole » et celle de l’article R. 143-31, alinéa 2, commune au TCI et à la CNITAAT : la forclusion ne peut être opposée lorsque le demandeur a saisi dans les délais non pas le tribunal mais l’organisme qui a notifié la décision ou bien le tribunal des affaires de sécurité sociale. « Cet assouplissement extrême de la saisine est spécifique devant le TCI [et la CNITAAT] et trouve une explication dans la nature de ce contentieux qui concerne des personnes parfois vulnérables en raison de déficiences de santé. Il permet également de corriger les effets liés à l’émiettement du contentieux social à l’origine de confusions multiples pour les demandeurs » (</w:t>
      </w:r>
      <w:proofErr w:type="spellStart"/>
      <w:r w:rsidRPr="00516913">
        <w:rPr>
          <w:rFonts w:ascii="Arial Narrow" w:hAnsi="Arial Narrow"/>
          <w:sz w:val="22"/>
          <w:szCs w:val="22"/>
          <w:lang w:eastAsia="fr-FR"/>
        </w:rPr>
        <w:t>J.-Cl</w:t>
      </w:r>
      <w:proofErr w:type="spellEnd"/>
      <w:r w:rsidRPr="00516913">
        <w:rPr>
          <w:rFonts w:ascii="Arial Narrow" w:hAnsi="Arial Narrow"/>
          <w:sz w:val="22"/>
          <w:szCs w:val="22"/>
          <w:lang w:eastAsia="fr-FR"/>
        </w:rPr>
        <w:t xml:space="preserve"> Protection sociale Traité, fasc. </w:t>
      </w:r>
      <w:r w:rsidRPr="00516913">
        <w:rPr>
          <w:rFonts w:ascii="Arial Narrow" w:hAnsi="Arial Narrow"/>
          <w:sz w:val="22"/>
          <w:szCs w:val="22"/>
          <w:lang w:eastAsia="fr-FR"/>
        </w:rPr>
        <w:lastRenderedPageBreak/>
        <w:t>786 : contentieux technique de la sécurité sociale, par P. Leroy, n° 46). L’émiettement sera réduit avec la compétence donnée au TGI spécialisé…</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Notons qu’il a été jugé que « l’indication dans la notification de la décision de l’organisme que le délai court à peine de forclusion n’est pas exigée par les articles R. 143-7 et R. 143-31 du code de la sécurité sociale » (</w:t>
      </w:r>
      <w:proofErr w:type="spellStart"/>
      <w:r w:rsidRPr="00516913">
        <w:rPr>
          <w:rFonts w:ascii="Arial Narrow" w:hAnsi="Arial Narrow"/>
          <w:sz w:val="22"/>
          <w:szCs w:val="22"/>
          <w:lang w:eastAsia="fr-FR"/>
        </w:rPr>
        <w:t>Civ</w:t>
      </w:r>
      <w:proofErr w:type="spellEnd"/>
      <w:r w:rsidRPr="00516913">
        <w:rPr>
          <w:rFonts w:ascii="Arial Narrow" w:hAnsi="Arial Narrow"/>
          <w:sz w:val="22"/>
          <w:szCs w:val="22"/>
          <w:lang w:eastAsia="fr-FR"/>
        </w:rPr>
        <w:t>. 2</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30 nov. 2017, n° 16-25.309, Dalloz jurisprudence) et que le texte nouveau ne l’exige pas davantage, ce que l’on peut regretter.</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L’alinéa 3 de l’article R. 142-10-1, nouveau, précise le contenu de la requête en s’inspirant de l’article R. 143-7 (déclaration devant le TCI), alors que le code est muet relativement aux mentions que doit contenir la requête devant le TASS – limitée dès lors aux prévisions de l’article 58 du code de procédure civile – et n’impose pas de joindre des pièces. Désormais « outre les mentions prescrites par l’article 58 du code de procédure civile, elle contient un exposé sommaire des motifs de la demande [ce qu’impose l’actuel article R. 143-7]. Elle est accompagnée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1°</w:t>
      </w:r>
      <w:r w:rsidRPr="00516913">
        <w:rPr>
          <w:rFonts w:ascii="Arial Narrow" w:hAnsi="Arial Narrow"/>
          <w:sz w:val="22"/>
          <w:szCs w:val="22"/>
          <w:lang w:eastAsia="fr-FR"/>
        </w:rPr>
        <w:t xml:space="preserve"> des pièces que le demandeur souhaite invoquer à l’appui de ses prétentions. Ces pièces sont énumérées sur un bordereau qui lui est annexé [innovation qui ne fait qu’étendre la règle posée par l’article 56, alinéa 2, du code de procédure civile pour les assignations]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2°</w:t>
      </w:r>
      <w:r w:rsidRPr="00516913">
        <w:rPr>
          <w:rFonts w:ascii="Arial Narrow" w:hAnsi="Arial Narrow"/>
          <w:sz w:val="22"/>
          <w:szCs w:val="22"/>
          <w:lang w:eastAsia="fr-FR"/>
        </w:rPr>
        <w:t xml:space="preserve"> d’une copie de la décision contestée [v. déjà art. R. 143-7] ou en cas de décision implicite, de la copie de la décision initiale de l’autorité administrative, et de l’organisme de sécurité sociale ainsi que de la copie de son recours préalable. Elle indique, le cas échéant, le nom et l’adresse du médecin qu’il désigne pour recevoir les documents médicaux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L’article R. 142-10-2 confère un pouvoir inédit au président de la formation de jugement : celui-ci « peut, par ordonnance motivée, rejeter les requêtes manifestement irrecevables ». Bien que le texte ne le précise pas expressément, il semble que ce rejet puisse être prononcé, dès l’enregistrement de la requête, sans débat et sans audience. Ce qui constitue la mise en œuvre d’une question posée dans les questionnaires adressés aux acteurs de terrain en préambule des chantiers de la justice (v. Dalloz actualité, 15 nov. 2017, Le droit en débats, </w:t>
      </w:r>
      <w:hyperlink r:id="rId38" w:anchor=".W-MtOXpKhTY" w:tgtFrame="_blank" w:history="1">
        <w:r w:rsidRPr="00516913">
          <w:rPr>
            <w:rFonts w:ascii="Arial Narrow" w:hAnsi="Arial Narrow"/>
            <w:color w:val="0000FF"/>
            <w:sz w:val="22"/>
            <w:szCs w:val="22"/>
            <w:u w:val="single"/>
            <w:lang w:eastAsia="fr-FR"/>
          </w:rPr>
          <w:t>Chantier de la justice : la réforme de la procédure civile en (35) question(s)</w:t>
        </w:r>
      </w:hyperlink>
      <w:r w:rsidRPr="00516913">
        <w:rPr>
          <w:rFonts w:ascii="Arial Narrow" w:hAnsi="Arial Narrow"/>
          <w:sz w:val="22"/>
          <w:szCs w:val="22"/>
          <w:lang w:eastAsia="fr-FR"/>
        </w:rPr>
        <w:t xml:space="preserve">…, par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que le rapport Molfessis/Agostini (p. 24) évoquait en estimant pourtant qu’elle devait être examinée avec prudence (v. Dalloz actualité, 7 févr. 2018,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0B4B1B4E" wp14:editId="77FF7504">
            <wp:extent cx="85725" cy="114300"/>
            <wp:effectExtent l="0" t="0" r="9525" b="0"/>
            <wp:docPr id="6" name="Image 6" descr="https://www.dalloz-actualite.fr/sites/all/themes/dallozactu/icons/type_link_dossier.png">
              <a:hlinkClick xmlns:a="http://schemas.openxmlformats.org/drawingml/2006/main" r:id="rId39" tooltip="&quot;Dossi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www.dalloz-actualite.fr/sites/all/themes/dallozactu/icons/type_link_dossier.png">
                      <a:hlinkClick r:id="rId39" tooltip="&quot;Dossier&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 « repenser le rôle de juge de la mise en état ») : c’est là une « ordonnance de tri », « à savoir un “dispositif s’inspirant de l’article R. 222-1 du code de justice administrative, lequel autorise un juge spécialement désigné à statuer par ordonnance permettant d’écarter une demande, sans instruction, sans audience et non contradictoirement, notamment en cas d’irrecevabilité manifeste” ». Or « le contradictoire est un principe élémentaire de bonne justice qui ne devrait jamais être écarté » (Dalloz actualité, 7 févr. 2018, obs. </w:t>
      </w:r>
      <w:proofErr w:type="spellStart"/>
      <w:r w:rsidRPr="00516913">
        <w:rPr>
          <w:rFonts w:ascii="Arial Narrow" w:hAnsi="Arial Narrow"/>
          <w:sz w:val="22"/>
          <w:szCs w:val="22"/>
          <w:lang w:eastAsia="fr-FR"/>
        </w:rPr>
        <w:t>préc</w:t>
      </w:r>
      <w:proofErr w:type="spellEnd"/>
      <w:r w:rsidRPr="00516913">
        <w:rPr>
          <w:rFonts w:ascii="Arial Narrow" w:hAnsi="Arial Narrow"/>
          <w:sz w:val="22"/>
          <w:szCs w:val="22"/>
          <w:lang w:eastAsia="fr-FR"/>
        </w:rPr>
        <w:t>.). Et la nouvelle disposition nous semble dangereuse…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L’article R. 142-10-3 organise la convocation des parties par le greffe. Le I reprend en partie seulement l’article R. 142-19 pour le TASS et l’article R. 143-9 pour le TCI. Le formalisme est considérablement allégé. Rappelons que la notion de « tout/s moyen/s » (le législateur n’est pas fixé sur le singulier ou le pluriel) inclut le courriel et le texto et qu’elle suppose le consentement du destinataire, personne physique ou morale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xml:space="preserve">. civ., art. 748-8 et 748-9, issu du décret n° 2015-282 du 11 mars 2015 ; </w:t>
      </w:r>
      <w:proofErr w:type="spellStart"/>
      <w:r w:rsidRPr="00516913">
        <w:rPr>
          <w:rFonts w:ascii="Arial Narrow" w:hAnsi="Arial Narrow"/>
          <w:i/>
          <w:iCs/>
          <w:sz w:val="22"/>
          <w:szCs w:val="22"/>
          <w:lang w:eastAsia="fr-FR"/>
        </w:rPr>
        <w:t>adde</w:t>
      </w:r>
      <w:proofErr w:type="spellEnd"/>
      <w:r w:rsidRPr="00516913">
        <w:rPr>
          <w:rFonts w:ascii="Arial Narrow" w:hAnsi="Arial Narrow"/>
          <w:sz w:val="22"/>
          <w:szCs w:val="22"/>
          <w:lang w:eastAsia="fr-FR"/>
        </w:rPr>
        <w:t xml:space="preserve">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J.-P. Teboul, « Une nouvelle ère pour la communication par voie électronique », </w:t>
      </w:r>
      <w:r w:rsidRPr="00516913">
        <w:rPr>
          <w:rFonts w:ascii="Arial Narrow" w:hAnsi="Arial Narrow"/>
          <w:i/>
          <w:iCs/>
          <w:sz w:val="22"/>
          <w:szCs w:val="22"/>
          <w:lang w:eastAsia="fr-FR"/>
        </w:rPr>
        <w:t>in </w:t>
      </w:r>
      <w:r w:rsidRPr="00516913">
        <w:rPr>
          <w:rFonts w:ascii="Arial Narrow" w:hAnsi="Arial Narrow"/>
          <w:sz w:val="22"/>
          <w:szCs w:val="22"/>
          <w:lang w:eastAsia="fr-FR"/>
        </w:rPr>
        <w:t xml:space="preserve">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L. </w:t>
      </w:r>
      <w:proofErr w:type="spellStart"/>
      <w:r w:rsidRPr="00516913">
        <w:rPr>
          <w:rFonts w:ascii="Arial Narrow" w:hAnsi="Arial Narrow"/>
          <w:sz w:val="22"/>
          <w:szCs w:val="22"/>
          <w:lang w:eastAsia="fr-FR"/>
        </w:rPr>
        <w:t>Raschel</w:t>
      </w:r>
      <w:proofErr w:type="spellEnd"/>
      <w:r w:rsidRPr="00516913">
        <w:rPr>
          <w:rFonts w:ascii="Arial Narrow" w:hAnsi="Arial Narrow"/>
          <w:sz w:val="22"/>
          <w:szCs w:val="22"/>
          <w:lang w:eastAsia="fr-FR"/>
        </w:rPr>
        <w:t xml:space="preserve"> [</w:t>
      </w:r>
      <w:proofErr w:type="spellStart"/>
      <w:r w:rsidRPr="00516913">
        <w:rPr>
          <w:rFonts w:ascii="Arial Narrow" w:hAnsi="Arial Narrow"/>
          <w:sz w:val="22"/>
          <w:szCs w:val="22"/>
          <w:lang w:eastAsia="fr-FR"/>
        </w:rPr>
        <w:t>dir</w:t>
      </w:r>
      <w:proofErr w:type="spellEnd"/>
      <w:r w:rsidRPr="00516913">
        <w:rPr>
          <w:rFonts w:ascii="Arial Narrow" w:hAnsi="Arial Narrow"/>
          <w:sz w:val="22"/>
          <w:szCs w:val="22"/>
          <w:lang w:eastAsia="fr-FR"/>
        </w:rPr>
        <w:t>.], </w:t>
      </w:r>
      <w:r w:rsidRPr="00516913">
        <w:rPr>
          <w:rFonts w:ascii="Arial Narrow" w:hAnsi="Arial Narrow"/>
          <w:i/>
          <w:iCs/>
          <w:sz w:val="22"/>
          <w:szCs w:val="22"/>
          <w:lang w:eastAsia="fr-FR"/>
        </w:rPr>
        <w:t>40 ans après… une nouvelle ère pour la procédure civile</w:t>
      </w:r>
      <w:r w:rsidRPr="00516913">
        <w:rPr>
          <w:rFonts w:ascii="Arial Narrow" w:hAnsi="Arial Narrow"/>
          <w:sz w:val="22"/>
          <w:szCs w:val="22"/>
          <w:lang w:eastAsia="fr-FR"/>
        </w:rPr>
        <w:t> </w:t>
      </w:r>
      <w:r w:rsidRPr="00516913">
        <w:rPr>
          <w:rFonts w:ascii="Arial Narrow" w:hAnsi="Arial Narrow"/>
          <w:i/>
          <w:iCs/>
          <w:sz w:val="22"/>
          <w:szCs w:val="22"/>
          <w:lang w:eastAsia="fr-FR"/>
        </w:rPr>
        <w:t>?</w:t>
      </w:r>
      <w:r w:rsidRPr="00516913">
        <w:rPr>
          <w:rFonts w:ascii="Arial Narrow" w:hAnsi="Arial Narrow"/>
          <w:sz w:val="22"/>
          <w:szCs w:val="22"/>
          <w:lang w:eastAsia="fr-FR"/>
        </w:rPr>
        <w:t xml:space="preserve">, Dalloz, coll. « Thèmes et commentaires », 2016, p. 31 s., </w:t>
      </w:r>
      <w:proofErr w:type="spellStart"/>
      <w:r w:rsidRPr="00516913">
        <w:rPr>
          <w:rFonts w:ascii="Arial Narrow" w:hAnsi="Arial Narrow"/>
          <w:sz w:val="22"/>
          <w:szCs w:val="22"/>
          <w:lang w:eastAsia="fr-FR"/>
        </w:rPr>
        <w:t>spéc</w:t>
      </w:r>
      <w:proofErr w:type="spellEnd"/>
      <w:r w:rsidRPr="00516913">
        <w:rPr>
          <w:rFonts w:ascii="Arial Narrow" w:hAnsi="Arial Narrow"/>
          <w:sz w:val="22"/>
          <w:szCs w:val="22"/>
          <w:lang w:eastAsia="fr-FR"/>
        </w:rPr>
        <w:t xml:space="preserve">. </w:t>
      </w:r>
      <w:proofErr w:type="gramStart"/>
      <w:r w:rsidRPr="00516913">
        <w:rPr>
          <w:rFonts w:ascii="Arial Narrow" w:hAnsi="Arial Narrow"/>
          <w:sz w:val="22"/>
          <w:szCs w:val="22"/>
          <w:lang w:eastAsia="fr-FR"/>
        </w:rPr>
        <w:t>n</w:t>
      </w:r>
      <w:r w:rsidRPr="00516913">
        <w:rPr>
          <w:rFonts w:ascii="Arial Narrow" w:hAnsi="Arial Narrow"/>
          <w:sz w:val="22"/>
          <w:szCs w:val="22"/>
          <w:vertAlign w:val="superscript"/>
          <w:lang w:eastAsia="fr-FR"/>
        </w:rPr>
        <w:t>os</w:t>
      </w:r>
      <w:proofErr w:type="gramEnd"/>
      <w:r w:rsidRPr="00516913">
        <w:rPr>
          <w:rFonts w:ascii="Arial Narrow" w:hAnsi="Arial Narrow"/>
          <w:sz w:val="22"/>
          <w:szCs w:val="22"/>
          <w:lang w:eastAsia="fr-FR"/>
        </w:rPr>
        <w:t xml:space="preserve"> 18 s.), mais pourquoi pas l’appel téléphonique ou les réseaux sociaux si la juridiction a un compte, par exemple, Twitter. En revanche, aucune acceptation du tribunal ne serait nécessaire, ne s’agissant pas d’une partie, ainsi qu’il en est déjà pour informer un juge de ce qu’il fait l’objet d’une demande de récusation (Dalloz actualité, 6 juin 2017,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5B6336C8" wp14:editId="007945D2">
            <wp:extent cx="85725" cy="114300"/>
            <wp:effectExtent l="0" t="0" r="9525" b="0"/>
            <wp:docPr id="7" name="Image 7" descr="https://www.dalloz-actualite.fr/sites/all/themes/dallozactu/icons/type_link_dossier.png">
              <a:hlinkClick xmlns:a="http://schemas.openxmlformats.org/drawingml/2006/main" r:id="rId41" tooltip="&quot;Dossier&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www.dalloz-actualite.fr/sites/all/themes/dallozactu/icons/type_link_dossier.png">
                      <a:hlinkClick r:id="rId41" tooltip="&quot;Dossier&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Le II de l’article R. 142-10-3 prévoit un traitement procédural spécifique pour les litiges de nature médicale : le texte reprend les articles R. 143-8 et R. 143-10, avec quelques modifications.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Ainsi,</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 selon le I, « le greffe avise par tous moyens [v. </w:t>
      </w:r>
      <w:r w:rsidRPr="00516913">
        <w:rPr>
          <w:rFonts w:ascii="Arial Narrow" w:hAnsi="Arial Narrow"/>
          <w:i/>
          <w:iCs/>
          <w:sz w:val="22"/>
          <w:szCs w:val="22"/>
          <w:lang w:eastAsia="fr-FR"/>
        </w:rPr>
        <w:t>supra</w:t>
      </w:r>
      <w:r w:rsidRPr="00516913">
        <w:rPr>
          <w:rFonts w:ascii="Arial Narrow" w:hAnsi="Arial Narrow"/>
          <w:sz w:val="22"/>
          <w:szCs w:val="22"/>
          <w:lang w:eastAsia="fr-FR"/>
        </w:rPr>
        <w:t>] le demandeur des lieu, jour et heure et convoque le défendeur par lettre simple [les parties sont actuellement convoquées par lettre recommandée avec demande d’avis de réception (LRAR) ou par la remise de l’acte au destinataire contre émargement ou récépissé], quinze jours au moins avant la date de l’audience [sans changement]. Si la partie convoquée par lettre simple ne comparait pas, le greffe la convoque à nouveau par LRAR » [un échec de la convocation par LRAR conduit aujourd’hui à ce que le greffe invite le demandeur à procéder par voie de signification].</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lastRenderedPageBreak/>
        <w:t>Toutefois, les présidents de conseils départementaux ou autres autorités administratives, les organismes de sécurité sociale, les maisons départementales des personnes handicapées, peuvent en toutes circonstances être convoqués par tous moyens [au lieu de « par lettre simple » ; le consentement pour une telle convocation, y compris par texto ou courriel, n’est pas nécessaire – par dérogation à l’article 748-9 du code de procédure civile ; actuellement, seuls sont susceptibles d’être convoqués par lettre simple les organismes de sécurité sociale].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 requête est jointe à la convocation »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selon le II, « dans les contentieux mentionnés au 1° de l’article L. 142-1 [contentieux général], lorsque la contestation porte sur une question d’ordre médical, et dans les contentieux mentionnés aux 1°, 2°, 3°, 5° et 6° de l’article L. 142-2 [contentieux technique hors tarification], le greffe du tribunal adresse copie de la requête selon le cas à la caisse ou à l’auteur de la décision contestée, et l’invite à présenter ses observations écrites, et à les communiquer aux autres parties à l’instance dans un délai de vingt [au lieu de dix aujourd’hui] jours. La convocation du demandeur l’invite à comparaître en personne afin qu’il puisse être procédé le cas échéant à une consultation clinique à l’audience ». L’article R. 143-10 est plus péremptoire, en ce qu’il dispose que « les parties comparaissent en personne</w:t>
      </w:r>
      <w:proofErr w:type="gramStart"/>
      <w:r w:rsidRPr="00516913">
        <w:rPr>
          <w:rFonts w:ascii="Arial Narrow" w:hAnsi="Arial Narrow"/>
          <w:sz w:val="22"/>
          <w:szCs w:val="22"/>
          <w:lang w:eastAsia="fr-FR"/>
        </w:rPr>
        <w:t> »…</w:t>
      </w:r>
      <w:proofErr w:type="gramEnd"/>
      <w:r w:rsidRPr="00516913">
        <w:rPr>
          <w:rFonts w:ascii="Arial Narrow" w:hAnsi="Arial Narrow"/>
          <w:sz w:val="22"/>
          <w:szCs w:val="22"/>
          <w:lang w:eastAsia="fr-FR"/>
        </w:rPr>
        <w:t xml:space="preserve"> en contradiction avec le texte législatif qui permet aux parties de se défendre elles-mêmes ou de se faire assister ou représenter (CSS, art. L. 142-9, issu de la loi J21, reprenant l’article L. 144-3 en allongeant un peu la liste des représentants : v. CSS, art. L. 142-9, 5° ; </w:t>
      </w:r>
      <w:proofErr w:type="spellStart"/>
      <w:r w:rsidRPr="00516913">
        <w:rPr>
          <w:rFonts w:ascii="Arial Narrow" w:hAnsi="Arial Narrow"/>
          <w:i/>
          <w:iCs/>
          <w:sz w:val="22"/>
          <w:szCs w:val="22"/>
          <w:lang w:eastAsia="fr-FR"/>
        </w:rPr>
        <w:t>adde</w:t>
      </w:r>
      <w:proofErr w:type="spellEnd"/>
      <w:r w:rsidRPr="00516913">
        <w:rPr>
          <w:rFonts w:ascii="Arial Narrow" w:hAnsi="Arial Narrow"/>
          <w:sz w:val="22"/>
          <w:szCs w:val="22"/>
          <w:lang w:eastAsia="fr-FR"/>
        </w:rPr>
        <w:t> Gaz. Pal. 31 janv. 2017, p. 72 s., n° 2,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La nuance apportée, qui concilie pratique (consultation à l’audience) et principe (représentation permise), est donc bienvenue.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Selon l’article R. 142-10-4,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 équivalent des articles R. 142-20-1 et R. 143-10,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 « la procédure est orale » (v. déjà </w:t>
      </w:r>
      <w:r w:rsidRPr="00516913">
        <w:rPr>
          <w:rFonts w:ascii="Arial Narrow" w:hAnsi="Arial Narrow"/>
          <w:i/>
          <w:iCs/>
          <w:sz w:val="22"/>
          <w:szCs w:val="22"/>
          <w:lang w:eastAsia="fr-FR"/>
        </w:rPr>
        <w:t>supra</w:t>
      </w:r>
      <w:r w:rsidRPr="00516913">
        <w:rPr>
          <w:rFonts w:ascii="Arial Narrow" w:hAnsi="Arial Narrow"/>
          <w:sz w:val="22"/>
          <w:szCs w:val="22"/>
          <w:lang w:eastAsia="fr-FR"/>
        </w:rPr>
        <w:t>). Et l’alinéa 2 précise qu</w:t>
      </w:r>
      <w:proofErr w:type="gramStart"/>
      <w:r w:rsidRPr="00516913">
        <w:rPr>
          <w:rFonts w:ascii="Arial Narrow" w:hAnsi="Arial Narrow"/>
          <w:sz w:val="22"/>
          <w:szCs w:val="22"/>
          <w:lang w:eastAsia="fr-FR"/>
        </w:rPr>
        <w:t>’«</w:t>
      </w:r>
      <w:proofErr w:type="gramEnd"/>
      <w:r w:rsidRPr="00516913">
        <w:rPr>
          <w:rFonts w:ascii="Arial Narrow" w:hAnsi="Arial Narrow"/>
          <w:sz w:val="22"/>
          <w:szCs w:val="22"/>
          <w:lang w:eastAsia="fr-FR"/>
        </w:rPr>
        <w:t> il peut être fait application du second alinéa de l’article 446-1 du code de procédure civile. Dans ce cas, les parties communiquent par lettre recommandée avec demande d’avis de réception ou par notification entre avocats et il en est justifié auprès du tribunal dans les délais impartis par le président ». La dispense de présentation judiciaire actuellement prévue aux articles R. 142-20-2,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et R. 143-10, alinéa 2, est donc reprise mais pas la dispense légale des articles R. 142-20-2, alinéa 2, et R. 143-10, alinéa 3 : c’est donc une oralité moderne réduite qui est praticable devant le TGI spécialisé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J.-P. Teboul, « D’un principe de présence à une libre dispense de présentation ou les évolutions en cours de l’oralité », </w:t>
      </w:r>
      <w:r w:rsidRPr="00516913">
        <w:rPr>
          <w:rFonts w:ascii="Arial Narrow" w:hAnsi="Arial Narrow"/>
          <w:i/>
          <w:iCs/>
          <w:sz w:val="22"/>
          <w:szCs w:val="22"/>
          <w:lang w:eastAsia="fr-FR"/>
        </w:rPr>
        <w:t>in</w:t>
      </w:r>
      <w:r w:rsidRPr="00516913">
        <w:rPr>
          <w:rFonts w:ascii="Arial Narrow" w:hAnsi="Arial Narrow"/>
          <w:sz w:val="22"/>
          <w:szCs w:val="22"/>
          <w:lang w:eastAsia="fr-FR"/>
        </w:rPr>
        <w:t xml:space="preserve"> C. </w:t>
      </w:r>
      <w:proofErr w:type="spellStart"/>
      <w:r w:rsidRPr="00516913">
        <w:rPr>
          <w:rFonts w:ascii="Arial Narrow" w:hAnsi="Arial Narrow"/>
          <w:sz w:val="22"/>
          <w:szCs w:val="22"/>
          <w:lang w:eastAsia="fr-FR"/>
        </w:rPr>
        <w:t>Puigelier</w:t>
      </w:r>
      <w:proofErr w:type="spellEnd"/>
      <w:r w:rsidRPr="00516913">
        <w:rPr>
          <w:rFonts w:ascii="Arial Narrow" w:hAnsi="Arial Narrow"/>
          <w:sz w:val="22"/>
          <w:szCs w:val="22"/>
          <w:lang w:eastAsia="fr-FR"/>
        </w:rPr>
        <w:t xml:space="preserve"> et I. </w:t>
      </w:r>
      <w:proofErr w:type="spellStart"/>
      <w:r w:rsidRPr="00516913">
        <w:rPr>
          <w:rFonts w:ascii="Arial Narrow" w:hAnsi="Arial Narrow"/>
          <w:sz w:val="22"/>
          <w:szCs w:val="22"/>
          <w:lang w:eastAsia="fr-FR"/>
        </w:rPr>
        <w:t>Petel-Teyssié</w:t>
      </w:r>
      <w:proofErr w:type="spellEnd"/>
      <w:r w:rsidRPr="00516913">
        <w:rPr>
          <w:rFonts w:ascii="Arial Narrow" w:hAnsi="Arial Narrow"/>
          <w:sz w:val="22"/>
          <w:szCs w:val="22"/>
          <w:lang w:eastAsia="fr-FR"/>
        </w:rPr>
        <w:t xml:space="preserve"> [</w:t>
      </w:r>
      <w:proofErr w:type="spellStart"/>
      <w:r w:rsidRPr="00516913">
        <w:rPr>
          <w:rFonts w:ascii="Arial Narrow" w:hAnsi="Arial Narrow"/>
          <w:sz w:val="22"/>
          <w:szCs w:val="22"/>
          <w:lang w:eastAsia="fr-FR"/>
        </w:rPr>
        <w:t>dir</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Quarantième anniversaire du Code de procédure civile [1975-2015]</w:t>
      </w:r>
      <w:r w:rsidRPr="00516913">
        <w:rPr>
          <w:rFonts w:ascii="Arial Narrow" w:hAnsi="Arial Narrow"/>
          <w:sz w:val="22"/>
          <w:szCs w:val="22"/>
          <w:lang w:eastAsia="fr-FR"/>
        </w:rPr>
        <w:t>, Éditions Panthéon-Assas, 2016, p. 109 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On peut aussi supposer qu’en cas de dispense de présentation (oralité moderne), voire d’organisation d’échanges écrits par le TGI spécialisé (ce qu’a autorisé la Cour de cassation, en oralité post-moderne, v. </w:t>
      </w:r>
      <w:proofErr w:type="spellStart"/>
      <w:r w:rsidRPr="00516913">
        <w:rPr>
          <w:rFonts w:ascii="Arial Narrow" w:hAnsi="Arial Narrow"/>
          <w:sz w:val="22"/>
          <w:szCs w:val="22"/>
          <w:lang w:eastAsia="fr-FR"/>
        </w:rPr>
        <w:t>Civ</w:t>
      </w:r>
      <w:proofErr w:type="spellEnd"/>
      <w:r w:rsidRPr="00516913">
        <w:rPr>
          <w:rFonts w:ascii="Arial Narrow" w:hAnsi="Arial Narrow"/>
          <w:sz w:val="22"/>
          <w:szCs w:val="22"/>
          <w:lang w:eastAsia="fr-FR"/>
        </w:rPr>
        <w:t>. 2</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xml:space="preserve">, 22 juin 2017, n° 16-17.118, P, Dalloz actualité, 11 juill. 2017, obs. M. </w:t>
      </w:r>
      <w:proofErr w:type="spellStart"/>
      <w:r w:rsidRPr="00516913">
        <w:rPr>
          <w:rFonts w:ascii="Arial Narrow" w:hAnsi="Arial Narrow"/>
          <w:sz w:val="22"/>
          <w:szCs w:val="22"/>
          <w:lang w:eastAsia="fr-FR"/>
        </w:rPr>
        <w:t>Kebir</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08398062" wp14:editId="0CA8F41F">
            <wp:extent cx="85725" cy="114300"/>
            <wp:effectExtent l="0" t="0" r="9525" b="0"/>
            <wp:docPr id="8" name="Image 8" descr="https://www.dalloz-actualite.fr/sites/all/themes/dallozactu/icons/type_link_flash.png">
              <a:hlinkClick xmlns:a="http://schemas.openxmlformats.org/drawingml/2006/main" r:id="rId42"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dalloz-actualite.fr/sites/all/themes/dallozactu/icons/type_link_flash.png">
                      <a:hlinkClick r:id="rId42"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D. 2017. 1588 </w:t>
      </w:r>
      <w:r w:rsidRPr="00516913">
        <w:rPr>
          <w:rFonts w:ascii="Arial Narrow" w:hAnsi="Arial Narrow"/>
          <w:noProof/>
          <w:color w:val="0000FF"/>
          <w:sz w:val="22"/>
          <w:szCs w:val="22"/>
          <w:lang w:eastAsia="fr-FR"/>
        </w:rPr>
        <w:drawing>
          <wp:inline distT="0" distB="0" distL="0" distR="0" wp14:anchorId="20FEEE65" wp14:editId="760B23AB">
            <wp:extent cx="114300" cy="123825"/>
            <wp:effectExtent l="0" t="0" r="0" b="9525"/>
            <wp:docPr id="9" name="Image 9" descr="https://www.dalloz-actualite.fr/sites/all/themes/dallozactu/icons/type_dalloz_fr_link.png">
              <a:hlinkClick xmlns:a="http://schemas.openxmlformats.org/drawingml/2006/main" r:id="rId43"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dalloz-actualite.fr/sites/all/themes/dallozactu/icons/type_dalloz_fr_link.png">
                      <a:hlinkClick r:id="rId43"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note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J.-P. Teboul </w:t>
      </w:r>
      <w:r w:rsidRPr="00516913">
        <w:rPr>
          <w:rFonts w:ascii="Arial Narrow" w:hAnsi="Arial Narrow"/>
          <w:noProof/>
          <w:color w:val="0000FF"/>
          <w:sz w:val="22"/>
          <w:szCs w:val="22"/>
          <w:lang w:eastAsia="fr-FR"/>
        </w:rPr>
        <w:drawing>
          <wp:inline distT="0" distB="0" distL="0" distR="0" wp14:anchorId="6F0C5468" wp14:editId="5FA28905">
            <wp:extent cx="114300" cy="123825"/>
            <wp:effectExtent l="0" t="0" r="0" b="9525"/>
            <wp:docPr id="10" name="Image 10" descr="https://www.dalloz-actualite.fr/sites/all/themes/dallozactu/icons/type_dalloz_fr_link.png">
              <a:hlinkClick xmlns:a="http://schemas.openxmlformats.org/drawingml/2006/main" r:id="rId4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dalloz-actualite.fr/sites/all/themes/dallozactu/icons/type_dalloz_fr_link.png">
                      <a:hlinkClick r:id="rId44"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w:t>
      </w:r>
      <w:r w:rsidRPr="00516913">
        <w:rPr>
          <w:rFonts w:ascii="Arial Narrow" w:hAnsi="Arial Narrow"/>
          <w:i/>
          <w:iCs/>
          <w:sz w:val="22"/>
          <w:szCs w:val="22"/>
          <w:lang w:eastAsia="fr-FR"/>
        </w:rPr>
        <w:t>ibid</w:t>
      </w:r>
      <w:r w:rsidRPr="00516913">
        <w:rPr>
          <w:rFonts w:ascii="Arial Narrow" w:hAnsi="Arial Narrow"/>
          <w:sz w:val="22"/>
          <w:szCs w:val="22"/>
          <w:lang w:eastAsia="fr-FR"/>
        </w:rPr>
        <w:t xml:space="preserve">. 1868, </w:t>
      </w:r>
      <w:proofErr w:type="spellStart"/>
      <w:r w:rsidRPr="00516913">
        <w:rPr>
          <w:rFonts w:ascii="Arial Narrow" w:hAnsi="Arial Narrow"/>
          <w:sz w:val="22"/>
          <w:szCs w:val="22"/>
          <w:lang w:eastAsia="fr-FR"/>
        </w:rPr>
        <w:t>chron</w:t>
      </w:r>
      <w:proofErr w:type="spellEnd"/>
      <w:r w:rsidRPr="00516913">
        <w:rPr>
          <w:rFonts w:ascii="Arial Narrow" w:hAnsi="Arial Narrow"/>
          <w:sz w:val="22"/>
          <w:szCs w:val="22"/>
          <w:lang w:eastAsia="fr-FR"/>
        </w:rPr>
        <w:t xml:space="preserve">. E. de Leiris, N. Touati, O. </w:t>
      </w:r>
      <w:proofErr w:type="spellStart"/>
      <w:r w:rsidRPr="00516913">
        <w:rPr>
          <w:rFonts w:ascii="Arial Narrow" w:hAnsi="Arial Narrow"/>
          <w:sz w:val="22"/>
          <w:szCs w:val="22"/>
          <w:lang w:eastAsia="fr-FR"/>
        </w:rPr>
        <w:t>Becuwe</w:t>
      </w:r>
      <w:proofErr w:type="spellEnd"/>
      <w:r w:rsidRPr="00516913">
        <w:rPr>
          <w:rFonts w:ascii="Arial Narrow" w:hAnsi="Arial Narrow"/>
          <w:sz w:val="22"/>
          <w:szCs w:val="22"/>
          <w:lang w:eastAsia="fr-FR"/>
        </w:rPr>
        <w:t xml:space="preserve">, G. Hénon et N. Palle </w:t>
      </w:r>
      <w:r w:rsidRPr="00516913">
        <w:rPr>
          <w:rFonts w:ascii="Arial Narrow" w:hAnsi="Arial Narrow"/>
          <w:noProof/>
          <w:color w:val="0000FF"/>
          <w:sz w:val="22"/>
          <w:szCs w:val="22"/>
          <w:lang w:eastAsia="fr-FR"/>
        </w:rPr>
        <w:drawing>
          <wp:inline distT="0" distB="0" distL="0" distR="0" wp14:anchorId="470F1111" wp14:editId="3BC71C25">
            <wp:extent cx="114300" cy="123825"/>
            <wp:effectExtent l="0" t="0" r="0" b="9525"/>
            <wp:docPr id="11" name="Image 11" descr="https://www.dalloz-actualite.fr/sites/all/themes/dallozactu/icons/type_dalloz_fr_link.png">
              <a:hlinkClick xmlns:a="http://schemas.openxmlformats.org/drawingml/2006/main" r:id="rId45"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dalloz-actualite.fr/sites/all/themes/dallozactu/icons/type_dalloz_fr_link.png">
                      <a:hlinkClick r:id="rId45"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w:t>
      </w:r>
      <w:r w:rsidRPr="00516913">
        <w:rPr>
          <w:rFonts w:ascii="Arial Narrow" w:hAnsi="Arial Narrow"/>
          <w:i/>
          <w:iCs/>
          <w:sz w:val="22"/>
          <w:szCs w:val="22"/>
          <w:lang w:eastAsia="fr-FR"/>
        </w:rPr>
        <w:t>ibid</w:t>
      </w:r>
      <w:r w:rsidRPr="00516913">
        <w:rPr>
          <w:rFonts w:ascii="Arial Narrow" w:hAnsi="Arial Narrow"/>
          <w:sz w:val="22"/>
          <w:szCs w:val="22"/>
          <w:lang w:eastAsia="fr-FR"/>
        </w:rPr>
        <w:t xml:space="preserve">. 2018. 692, obs. N. </w:t>
      </w:r>
      <w:proofErr w:type="spellStart"/>
      <w:r w:rsidRPr="00516913">
        <w:rPr>
          <w:rFonts w:ascii="Arial Narrow" w:hAnsi="Arial Narrow"/>
          <w:sz w:val="22"/>
          <w:szCs w:val="22"/>
          <w:lang w:eastAsia="fr-FR"/>
        </w:rPr>
        <w:t>Fricero</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280E999C" wp14:editId="059FCFD9">
            <wp:extent cx="114300" cy="123825"/>
            <wp:effectExtent l="0" t="0" r="0" b="9525"/>
            <wp:docPr id="12" name="Image 12" descr="https://www.dalloz-actualite.fr/sites/all/themes/dallozactu/icons/type_dalloz_fr_link.png">
              <a:hlinkClick xmlns:a="http://schemas.openxmlformats.org/drawingml/2006/main" r:id="rId46"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dalloz-actualite.fr/sites/all/themes/dallozactu/icons/type_dalloz_fr_link.png">
                      <a:hlinkClick r:id="rId46"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xml:space="preserve">; Gaz. Pal. 31 oct. 2017, p. 60, obs. L. Mayer) – et, lorsque les parties seront au moins assistées par un avocat, les notifications par actes du palais pourront emprunter la voie électronique : les tuyaux RPVA existant devant tous les TGI, tout autant que l’arrêté technique permettant le recours facultatif à cette voie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748-1 et 748-6 ; A., 7 avr. 2009).</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De manière plus surprenante, selon l’article R. 142-10-5, le président de la formation de jugement exerce les missions et dispose des mêmes pouvoirs que le juge de la mise en état en « circuit long », à savoir ceux que ce magistrat tient des articles 763 à 781 du code de procédure civile (I)… dans la procédure écrite ordinaire devant le TGI ! La combinaison procédure orale/écrite est un peu curieuse. Il semble que le socle de l’oralité – classique ou moderne – qui figure aux articles 446-1 à 446-4 (issus du décret n° 2010-1165 du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octobre 2010, l’article 446-2 ayant été modifié par le décret n° 201-892 du 6 mai 2017, v. Dalloz actualité, 13 </w:t>
      </w:r>
      <w:r w:rsidRPr="00516913">
        <w:rPr>
          <w:rFonts w:ascii="Arial Narrow" w:hAnsi="Arial Narrow"/>
          <w:noProof/>
          <w:color w:val="0000FF"/>
          <w:sz w:val="22"/>
          <w:szCs w:val="22"/>
          <w:lang w:eastAsia="fr-FR"/>
        </w:rPr>
        <w:drawing>
          <wp:inline distT="0" distB="0" distL="0" distR="0" wp14:anchorId="5327C6BE" wp14:editId="4EBE6F59">
            <wp:extent cx="85725" cy="114300"/>
            <wp:effectExtent l="0" t="0" r="9525" b="0"/>
            <wp:docPr id="13" name="Image 13" descr="https://www.dalloz-actualite.fr/sites/all/themes/dallozactu/icons/type_link_flash.png">
              <a:hlinkClick xmlns:a="http://schemas.openxmlformats.org/drawingml/2006/main" r:id="rId47"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dalloz-actualite.fr/sites/all/themes/dallozactu/icons/type_link_flash.png">
                      <a:hlinkClick r:id="rId47"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15 </w:t>
      </w:r>
      <w:r w:rsidRPr="00516913">
        <w:rPr>
          <w:rFonts w:ascii="Arial Narrow" w:hAnsi="Arial Narrow"/>
          <w:noProof/>
          <w:color w:val="0000FF"/>
          <w:sz w:val="22"/>
          <w:szCs w:val="22"/>
          <w:lang w:eastAsia="fr-FR"/>
        </w:rPr>
        <w:drawing>
          <wp:inline distT="0" distB="0" distL="0" distR="0" wp14:anchorId="38005565" wp14:editId="6224F045">
            <wp:extent cx="85725" cy="114300"/>
            <wp:effectExtent l="0" t="0" r="9525" b="0"/>
            <wp:docPr id="14" name="Image 14" descr="https://www.dalloz-actualite.fr/sites/all/themes/dallozactu/icons/type_link_flash.png">
              <a:hlinkClick xmlns:a="http://schemas.openxmlformats.org/drawingml/2006/main" r:id="rId48"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dalloz-actualite.fr/sites/all/themes/dallozactu/icons/type_link_flash.png">
                      <a:hlinkClick r:id="rId48"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16 </w:t>
      </w:r>
      <w:r w:rsidRPr="00516913">
        <w:rPr>
          <w:rFonts w:ascii="Arial Narrow" w:hAnsi="Arial Narrow"/>
          <w:noProof/>
          <w:color w:val="0000FF"/>
          <w:sz w:val="22"/>
          <w:szCs w:val="22"/>
          <w:lang w:eastAsia="fr-FR"/>
        </w:rPr>
        <w:drawing>
          <wp:inline distT="0" distB="0" distL="0" distR="0" wp14:anchorId="7FD8CC85" wp14:editId="0F5B9195">
            <wp:extent cx="85725" cy="114300"/>
            <wp:effectExtent l="0" t="0" r="9525" b="0"/>
            <wp:docPr id="15" name="Image 15" descr="https://www.dalloz-actualite.fr/sites/all/themes/dallozactu/icons/type_link_flash.png">
              <a:hlinkClick xmlns:a="http://schemas.openxmlformats.org/drawingml/2006/main" r:id="rId49"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dalloz-actualite.fr/sites/all/themes/dallozactu/icons/type_link_flash.png">
                      <a:hlinkClick r:id="rId49"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et </w:t>
      </w:r>
      <w:r w:rsidRPr="00516913">
        <w:rPr>
          <w:rFonts w:ascii="Arial Narrow" w:hAnsi="Arial Narrow"/>
          <w:noProof/>
          <w:color w:val="0000FF"/>
          <w:sz w:val="22"/>
          <w:szCs w:val="22"/>
          <w:lang w:eastAsia="fr-FR"/>
        </w:rPr>
        <w:drawing>
          <wp:inline distT="0" distB="0" distL="0" distR="0" wp14:anchorId="3B2AF970" wp14:editId="5B819DD8">
            <wp:extent cx="85725" cy="114300"/>
            <wp:effectExtent l="0" t="0" r="9525" b="0"/>
            <wp:docPr id="16" name="Image 16" descr="https://www.dalloz-actualite.fr/sites/all/themes/dallozactu/icons/type_link_flash.png">
              <a:hlinkClick xmlns:a="http://schemas.openxmlformats.org/drawingml/2006/main" r:id="rId50"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dalloz-actualite.fr/sites/all/themes/dallozactu/icons/type_link_flash.png">
                      <a:hlinkClick r:id="rId50"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17 </w:t>
      </w:r>
      <w:r w:rsidRPr="00516913">
        <w:rPr>
          <w:rFonts w:ascii="Arial Narrow" w:hAnsi="Arial Narrow"/>
          <w:noProof/>
          <w:color w:val="0000FF"/>
          <w:sz w:val="22"/>
          <w:szCs w:val="22"/>
          <w:lang w:eastAsia="fr-FR"/>
        </w:rPr>
        <w:drawing>
          <wp:inline distT="0" distB="0" distL="0" distR="0" wp14:anchorId="7AAFFF8C" wp14:editId="5ECA5728">
            <wp:extent cx="85725" cy="114300"/>
            <wp:effectExtent l="0" t="0" r="9525" b="0"/>
            <wp:docPr id="17" name="Image 17" descr="https://www.dalloz-actualite.fr/sites/all/themes/dallozactu/icons/type_link_flash.png">
              <a:hlinkClick xmlns:a="http://schemas.openxmlformats.org/drawingml/2006/main" r:id="rId51"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dalloz-actualite.fr/sites/all/themes/dallozactu/icons/type_link_flash.png">
                      <a:hlinkClick r:id="rId51"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et </w:t>
      </w:r>
      <w:r w:rsidRPr="00516913">
        <w:rPr>
          <w:rFonts w:ascii="Arial Narrow" w:hAnsi="Arial Narrow"/>
          <w:noProof/>
          <w:color w:val="0000FF"/>
          <w:sz w:val="22"/>
          <w:szCs w:val="22"/>
          <w:lang w:eastAsia="fr-FR"/>
        </w:rPr>
        <w:drawing>
          <wp:inline distT="0" distB="0" distL="0" distR="0" wp14:anchorId="4CEB9119" wp14:editId="5BB74175">
            <wp:extent cx="85725" cy="114300"/>
            <wp:effectExtent l="0" t="0" r="9525" b="0"/>
            <wp:docPr id="18" name="Image 18" descr="https://www.dalloz-actualite.fr/sites/all/themes/dallozactu/icons/type_link_flash.png">
              <a:hlinkClick xmlns:a="http://schemas.openxmlformats.org/drawingml/2006/main" r:id="rId52"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dalloz-actualite.fr/sites/all/themes/dallozactu/icons/type_link_flash.png">
                      <a:hlinkClick r:id="rId52"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18 </w:t>
      </w:r>
      <w:r w:rsidRPr="00516913">
        <w:rPr>
          <w:rFonts w:ascii="Arial Narrow" w:hAnsi="Arial Narrow"/>
          <w:noProof/>
          <w:color w:val="0000FF"/>
          <w:sz w:val="22"/>
          <w:szCs w:val="22"/>
          <w:lang w:eastAsia="fr-FR"/>
        </w:rPr>
        <w:drawing>
          <wp:inline distT="0" distB="0" distL="0" distR="0" wp14:anchorId="042A5403" wp14:editId="774101F2">
            <wp:extent cx="85725" cy="114300"/>
            <wp:effectExtent l="0" t="0" r="9525" b="0"/>
            <wp:docPr id="19" name="Image 19" descr="https://www.dalloz-actualite.fr/sites/all/themes/dallozactu/icons/type_link_flash.png">
              <a:hlinkClick xmlns:a="http://schemas.openxmlformats.org/drawingml/2006/main" r:id="rId53"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www.dalloz-actualite.fr/sites/all/themes/dallozactu/icons/type_link_flash.png">
                      <a:hlinkClick r:id="rId53"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et </w:t>
      </w:r>
      <w:r w:rsidRPr="00516913">
        <w:rPr>
          <w:rFonts w:ascii="Arial Narrow" w:hAnsi="Arial Narrow"/>
          <w:noProof/>
          <w:color w:val="0000FF"/>
          <w:sz w:val="22"/>
          <w:szCs w:val="22"/>
          <w:lang w:eastAsia="fr-FR"/>
        </w:rPr>
        <w:drawing>
          <wp:inline distT="0" distB="0" distL="0" distR="0" wp14:anchorId="66E5A817" wp14:editId="6BD4E2DE">
            <wp:extent cx="85725" cy="114300"/>
            <wp:effectExtent l="0" t="0" r="9525" b="0"/>
            <wp:docPr id="20" name="Image 20" descr="https://www.dalloz-actualite.fr/sites/all/themes/dallozactu/icons/type_link_flash.png">
              <a:hlinkClick xmlns:a="http://schemas.openxmlformats.org/drawingml/2006/main" r:id="rId54"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www.dalloz-actualite.fr/sites/all/themes/dallozactu/icons/type_link_flash.png">
                      <a:hlinkClick r:id="rId54"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 19 </w:t>
      </w:r>
      <w:r w:rsidRPr="00516913">
        <w:rPr>
          <w:rFonts w:ascii="Arial Narrow" w:hAnsi="Arial Narrow"/>
          <w:noProof/>
          <w:color w:val="0000FF"/>
          <w:sz w:val="22"/>
          <w:szCs w:val="22"/>
          <w:lang w:eastAsia="fr-FR"/>
        </w:rPr>
        <w:drawing>
          <wp:inline distT="0" distB="0" distL="0" distR="0" wp14:anchorId="136E729E" wp14:editId="5906E20C">
            <wp:extent cx="85725" cy="114300"/>
            <wp:effectExtent l="0" t="0" r="9525" b="0"/>
            <wp:docPr id="21" name="Image 21" descr="https://www.dalloz-actualite.fr/sites/all/themes/dallozactu/icons/type_link_flash.png">
              <a:hlinkClick xmlns:a="http://schemas.openxmlformats.org/drawingml/2006/main" r:id="rId55"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dalloz-actualite.fr/sites/all/themes/dallozactu/icons/type_link_flash.png">
                      <a:hlinkClick r:id="rId55"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xml:space="preserve">mai 2017,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soit applicable devant le TGI spécialisé (ce qui permet d’économiser certaines précisions qui figurent à l’article 446-3 et que l’article R. 142-22, alinéa 3, d’ailleurs antérieur – puisqu’issu du décret n° 92-460 du 19 mars 1992, prévoyait en « doublon », avec un formalisme particulier). Ceci, même s’il est renvoyé, d’une part, au seul article 446-1 et, d’autre part, aux articles 763 à 781…</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L’article précise encore que, « par dérogation aux dispositions du deuxième alinéa de l’article 774 du code de procédure civile [qui prévoit la convocation par le juge des avocats à son audience], il peut se prononcer sans débat, après avoir recueilli les observations écrites des parties ou les avoir invitées à présenter leurs observations » (II). Là encore, il nous semble peu heureux qu’il n’y ait pas de débat sur des questions d’importance – sauf à ce que le contradictoire soit suffisamment assuré hors audience. Il est vrai que c’est une </w:t>
      </w:r>
      <w:r w:rsidRPr="00516913">
        <w:rPr>
          <w:rFonts w:ascii="Arial Narrow" w:hAnsi="Arial Narrow"/>
          <w:sz w:val="22"/>
          <w:szCs w:val="22"/>
          <w:lang w:eastAsia="fr-FR"/>
        </w:rPr>
        <w:lastRenderedPageBreak/>
        <w:t>simple faculté pour le juge… avec le risque corrélatif d’avoir des pratiques très différentes d’un TGI spécialisé à un autre.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Par application de l’article 776, l’appel immédiat est ouvert de manière limitée.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142-10-6 reprend l’actuel article R. 142-26, en remontant en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de manière plus logique, sa phrase finale : « le tribunal peut ordonner l’exécution par provision de toutes ses décisions.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Les décisions relatives à l’indemnité journalière sont, nonobstant appel, exécutoires par provision pour l’indemnité échue depuis l’accident jusqu’au trentième jour qui suit l’appel. Passé ce délai, l’exécution provisoire ne peut être continuée que de mois en mois, sur requête adressée, pour chaque période mensuelle, au président de la formation de jugement dont la décision a été frappée d’appel, statuant seul. Les décisions du président sont susceptibles de recours en cassation pour violation de la loi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Selon l’article R. 142-10-7,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 le greffe notifie la décision à chacune des parties ». La forme de la notification n’est pas précisée, alors que tant l’article R. 142-27 que l’article R. 143-14, alinéa 2, prévoyaient une LRAR et un délai de quinzaine pour ce faire. Ce même alinéa précisait la mention relative aux recours, à l’exclusion de l’article R. 142-27, mais l’article 680 du code de procédure civile est plus exigeant. La dérogation au principe de signification des jugements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xml:space="preserve">. civ., art. 675) est en tout cas maintenue devant le TGI spécialisé. L’article R. 142-10-7, alinéa 2, prévoit que « les parties sont avisées des mesures d’administration judiciaire par tous moyens » (v. </w:t>
      </w:r>
      <w:r w:rsidRPr="00516913">
        <w:rPr>
          <w:rFonts w:ascii="Arial Narrow" w:hAnsi="Arial Narrow"/>
          <w:i/>
          <w:iCs/>
          <w:sz w:val="22"/>
          <w:szCs w:val="22"/>
          <w:lang w:eastAsia="fr-FR"/>
        </w:rPr>
        <w:t>supra</w:t>
      </w:r>
      <w:r w:rsidRPr="00516913">
        <w:rPr>
          <w:rFonts w:ascii="Arial Narrow" w:hAnsi="Arial Narrow"/>
          <w:sz w:val="22"/>
          <w:szCs w:val="22"/>
          <w:lang w:eastAsia="fr-FR"/>
        </w:rPr>
        <w:t xml:space="preserve"> ce que recouvre cette expression), au lieu de « verbalement avec émargement au dossier ou par lettre simple » (art. R. 143-14, al. 2, </w:t>
      </w:r>
      <w:r w:rsidRPr="00516913">
        <w:rPr>
          <w:rFonts w:ascii="Arial Narrow" w:hAnsi="Arial Narrow"/>
          <w:i/>
          <w:iCs/>
          <w:sz w:val="22"/>
          <w:szCs w:val="22"/>
          <w:lang w:eastAsia="fr-FR"/>
        </w:rPr>
        <w:t>in fine</w:t>
      </w:r>
      <w:r w:rsidRPr="00516913">
        <w:rPr>
          <w:rFonts w:ascii="Arial Narrow" w:hAnsi="Arial Narrow"/>
          <w:sz w:val="22"/>
          <w:szCs w:val="22"/>
          <w:lang w:eastAsia="fr-FR"/>
        </w:rPr>
        <w:t xml:space="preserve">), l’article R. 142-27 ne prévoyant rien ; de son côté, le code de procédure civile évoque parfois un avis donné aux avocats ou aux parties sans autre précision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758, 866, etc.) à propos de mesures d’administration judiciaire.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142-10-8, reconduit la possibilité offerte par l’article R. 142-27-1 de recourir à l’injonction de payer devant le TASS, en l’adaptant au TGI spécialisé : « le recouvrement d’une créance peut être demandé suivant la procédure d’injonction de payer lorsqu’elle résulte d’une prise en charge injustifiée ou d’un indu de prestation.</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 demande est portée devant le président du tribunal du lieu où demeure le débiteur. Tout autre juge se déclare d’office incompétent.</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 procédure est régie par les articles 1407 et suivants du code de procédure civile, sous réserve des dispositions relatives à la procédure orale » et non plus « propres à la procédure applicable devant le tribunal de grande instance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On se demande pourquoi ne pas avoir renvoyé aux articles 1406 et suivants, puisque l’article 1406, qui vise le tribunal d’instance, le président du tribunal de grande instance ou du tribunal de commerce, prévoit suffisamment l’incompétence d’ordre public « renforcé » de tout juge saisi à tort (il doit se déclarer d’office incompétent) – ce qui aurait pu s’adapter au président du TGI spécialisé.</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L’alinéa 3 n’est guère limpide : il faut sûrement comprendre que, comme aujourd’hui, la procédure est orale.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L’alinéa 4 de l’article R. 142-10-8, selon lequel « l’opposition est portée devant le tribunal des affaires de sécurité sociale dont le président a rendu la décision », n’est pas repris et pourtant la solution demeure inchangée : l’article 1415 du code de procédure civile règle assez la question en donnant compétence au TGI, en tant que « juridiction dont […] le président a rendu l’ordonnance portant injonction de payer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 procédure n’aura sans doute pas plus de succès qu’aujourd’hui auprès des caisses qui préfèrent et préféreront toujours la procédure de contrainte…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Celle-ci, régie par les articles L. 161-1-5, L. 244-9 et R. 133-3 à R. 133-7 n’est pas remise en cause. Le décret commenté ne la modifie pas. Les textes sont suffisamment généraux (l’article R. 133-3 évoque le tribunal compétent, sans mentionner quel tribunal) pour pouvoir être transposés du TASS au TGI spécialisé.</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b/>
          <w:bCs/>
          <w:sz w:val="22"/>
          <w:szCs w:val="22"/>
          <w:lang w:eastAsia="fr-FR"/>
        </w:rPr>
        <w:t>Procédure devant les cours d’appel spécialement désignées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Seulement deux articles sont consacrés à la procédure d’appel, desquels il résulte que « la procédure d’appel est sans représentation obligatoire » (art. R. 142-11) et que « les décisions de la cour sont notifiées aux parties par le greffe » (art. R. 142-12). Ce sont donc les articles 931 et suivants du code de procédure civile qui régissent la procédure devant les cours d’appel désignées pour connaître des contentieux général, technique (hors tarification) et de l’aide sociale. Là encore le principe de signification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xml:space="preserve">. civ., art. 675) est écarté. C’était le cas </w:t>
      </w:r>
      <w:r w:rsidRPr="00516913">
        <w:rPr>
          <w:rFonts w:ascii="Arial Narrow" w:hAnsi="Arial Narrow"/>
          <w:sz w:val="22"/>
          <w:szCs w:val="22"/>
          <w:lang w:eastAsia="fr-FR"/>
        </w:rPr>
        <w:lastRenderedPageBreak/>
        <w:t>pour l’appel du contentieux technique, les décisions de la CNITAAT (en tant que cour d’appel de ce contentieux) étant notifiées sans délai par LRAR, avec mention des délais et des voies de recours (art. R. 143-29-2) ; cela ne l’était pas pour l’appel du contentieux général.</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i/>
          <w:iCs/>
          <w:sz w:val="22"/>
          <w:szCs w:val="22"/>
          <w:lang w:eastAsia="fr-FR"/>
        </w:rPr>
        <w:t>C. B.</w:t>
      </w:r>
    </w:p>
    <w:p w:rsidR="00516913" w:rsidRPr="00516913" w:rsidRDefault="00516913" w:rsidP="004037BF">
      <w:pPr>
        <w:spacing w:before="120"/>
        <w:outlineLvl w:val="1"/>
        <w:rPr>
          <w:rFonts w:ascii="Arial Narrow" w:hAnsi="Arial Narrow"/>
          <w:b/>
          <w:bCs/>
          <w:sz w:val="22"/>
          <w:szCs w:val="22"/>
          <w:lang w:eastAsia="fr-FR"/>
        </w:rPr>
      </w:pPr>
      <w:bookmarkStart w:id="2" w:name="partie_1_3"/>
      <w:r w:rsidRPr="00516913">
        <w:rPr>
          <w:rFonts w:ascii="Arial Narrow" w:hAnsi="Arial Narrow"/>
          <w:b/>
          <w:bCs/>
          <w:sz w:val="22"/>
          <w:szCs w:val="22"/>
          <w:lang w:eastAsia="fr-FR"/>
        </w:rPr>
        <w:t>Contentieux de la tarification</w:t>
      </w:r>
      <w:bookmarkEnd w:id="2"/>
      <w:r w:rsidRPr="00516913">
        <w:rPr>
          <w:rFonts w:ascii="Arial Narrow" w:hAnsi="Arial Narrow"/>
          <w:b/>
          <w:bCs/>
          <w:sz w:val="22"/>
          <w:szCs w:val="22"/>
          <w:lang w:eastAsia="fr-FR"/>
        </w:rPr>
        <w:t xml:space="preserv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 sous-section 2 de la section 3 « Procédure applicable aux litiges mentionnés au 4° de l’article L. 142-2 du code de la sécurité sociale », soit au contentieux de la tarification, comporte les articles R. 142-13 à R. 142-13-5.</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premier de ces textes annonce que les recours qui seront formés devant la cour d’appel d’Amiens, en tant que juge de première (et dernière) instance du contentieux de la tarification, obéiront aux dispositions dérogatoires qui figurent dans les articles suivants. Rappelons qu’aujourd’hui comme demain, « ces recours portent sur les décisions des caisses d’assurance retraite et de santé au travail [CARSAT] ou des caisses de mutualité sociale agricole fixant les taux de cotisations accidents du travail, accordant ou refusant d’accorder des ristournes ou encore déterminant des cotisations supplémentaires, notamment en raison d’une faute inexcusable de l’employeur » (</w:t>
      </w:r>
      <w:proofErr w:type="spellStart"/>
      <w:r w:rsidRPr="00516913">
        <w:rPr>
          <w:rFonts w:ascii="Arial Narrow" w:hAnsi="Arial Narrow"/>
          <w:sz w:val="22"/>
          <w:szCs w:val="22"/>
          <w:lang w:eastAsia="fr-FR"/>
        </w:rPr>
        <w:t>JCl</w:t>
      </w:r>
      <w:proofErr w:type="spellEnd"/>
      <w:r w:rsidRPr="00516913">
        <w:rPr>
          <w:rFonts w:ascii="Arial Narrow" w:hAnsi="Arial Narrow"/>
          <w:sz w:val="22"/>
          <w:szCs w:val="22"/>
          <w:lang w:eastAsia="fr-FR"/>
        </w:rPr>
        <w:t xml:space="preserve"> Protection sociale Traité, fasc. 786, </w:t>
      </w:r>
      <w:r w:rsidRPr="00516913">
        <w:rPr>
          <w:rFonts w:ascii="Arial Narrow" w:hAnsi="Arial Narrow"/>
          <w:i/>
          <w:iCs/>
          <w:sz w:val="22"/>
          <w:szCs w:val="22"/>
          <w:lang w:eastAsia="fr-FR"/>
        </w:rPr>
        <w:t>v°</w:t>
      </w:r>
      <w:r w:rsidRPr="00516913">
        <w:rPr>
          <w:rFonts w:ascii="Arial Narrow" w:hAnsi="Arial Narrow"/>
          <w:sz w:val="22"/>
          <w:szCs w:val="22"/>
          <w:lang w:eastAsia="fr-FR"/>
        </w:rPr>
        <w:t xml:space="preserve"> Contentieux technique de la sécurité sociale, par P. Leroy, n° 89). De même, les demandeurs sont les employeurs qui se sont vu notifier une décision relative à leur cotisation accidents du travail ou l’autorité administrative compétente.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En revanche,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la procédure s’éloigne de celle prévue actuellement par les articles R. 143-20-1 et suivants devant la CNITAAT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 la cour d’appel d’Amiens ne statuera pas sur l’appel du contentieux technique hors tarification, relevant demain des cours d’appel désignées (la CNITAAT étant toutefois maintenue pendant au moins deux ans pour continuer de connaître des affaires en cours : v. </w:t>
      </w:r>
      <w:r w:rsidRPr="00516913">
        <w:rPr>
          <w:rFonts w:ascii="Arial Narrow" w:hAnsi="Arial Narrow"/>
          <w:i/>
          <w:iCs/>
          <w:sz w:val="22"/>
          <w:szCs w:val="22"/>
          <w:lang w:eastAsia="fr-FR"/>
        </w:rPr>
        <w:t>supra</w:t>
      </w:r>
      <w:r w:rsidRPr="00516913">
        <w:rPr>
          <w:rFonts w:ascii="Arial Narrow" w:hAnsi="Arial Narrow"/>
          <w:sz w:val="22"/>
          <w:szCs w:val="22"/>
          <w:lang w:eastAsia="fr-FR"/>
        </w:rPr>
        <w:t>) : les dispositions qui actuellement prévoient un tel appel ne sont donc pas reprises.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Selon l’article R. 142-13-1,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 le recours est formé par voie d’assignation à une audience préalablement indiquée par le premier président ou son délégué. Une copie de la décision attaquée est jointe à l’assignation »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 l’assignation est une nouveauté : l’article R. 143-22 prévoit aujourd’hui que la CNITAAT est saisie (le même acte introduit l’instance et saisit la juridiction, v. J. Héron et T. Le Bars, </w:t>
      </w:r>
      <w:r w:rsidRPr="00516913">
        <w:rPr>
          <w:rFonts w:ascii="Arial Narrow" w:hAnsi="Arial Narrow"/>
          <w:i/>
          <w:iCs/>
          <w:sz w:val="22"/>
          <w:szCs w:val="22"/>
          <w:lang w:eastAsia="fr-FR"/>
        </w:rPr>
        <w:t>Droit judiciaire privé</w:t>
      </w:r>
      <w:r w:rsidRPr="00516913">
        <w:rPr>
          <w:rFonts w:ascii="Arial Narrow" w:hAnsi="Arial Narrow"/>
          <w:sz w:val="22"/>
          <w:szCs w:val="22"/>
          <w:lang w:eastAsia="fr-FR"/>
        </w:rPr>
        <w:t>, 6</w:t>
      </w:r>
      <w:r w:rsidRPr="00516913">
        <w:rPr>
          <w:rFonts w:ascii="Arial Narrow" w:hAnsi="Arial Narrow"/>
          <w:sz w:val="22"/>
          <w:szCs w:val="22"/>
          <w:vertAlign w:val="superscript"/>
          <w:lang w:eastAsia="fr-FR"/>
        </w:rPr>
        <w:t>e</w:t>
      </w:r>
      <w:r w:rsidRPr="00516913">
        <w:rPr>
          <w:rFonts w:ascii="Arial Narrow" w:hAnsi="Arial Narrow"/>
          <w:sz w:val="22"/>
          <w:szCs w:val="22"/>
          <w:lang w:eastAsia="fr-FR"/>
        </w:rPr>
        <w:t xml:space="preserve"> éd., Lextenso, coll. « Précis Domat », 2015, n° 469), en matière de contentieux de la tarification, par LRAR adressée à son secrétariat général. Les recours doivent être établis en triple exemplaire et être accompagnés, en triple exemplaire également, de mémoires justificatifs déposés dans le même délai (CSS, art. R. 143-22)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 c’est une assignation à jour fixe à la différence de ce qui se passe devant les TGI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xml:space="preserve">. civ., art. 755 s. ; J. Héron et T. Le Bars,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n° 594) et non une déclaration d’appel, comme devant les cours d’appel, y compris spécialisées en contentieux social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la nécessité de joindre une copie de la décision attaquée est également nouvelle : en effet, une telle exigence n’existe pas en cas de recours en matière de tarification (</w:t>
      </w:r>
      <w:proofErr w:type="spellStart"/>
      <w:r w:rsidRPr="00516913">
        <w:rPr>
          <w:rFonts w:ascii="Arial Narrow" w:hAnsi="Arial Narrow"/>
          <w:sz w:val="22"/>
          <w:szCs w:val="22"/>
          <w:lang w:eastAsia="fr-FR"/>
        </w:rPr>
        <w:t>comp</w:t>
      </w:r>
      <w:proofErr w:type="spellEnd"/>
      <w:r w:rsidRPr="00516913">
        <w:rPr>
          <w:rFonts w:ascii="Arial Narrow" w:hAnsi="Arial Narrow"/>
          <w:sz w:val="22"/>
          <w:szCs w:val="22"/>
          <w:lang w:eastAsia="fr-FR"/>
        </w:rPr>
        <w:t xml:space="preserve">., en revanche,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901 et 933, en matière d’appel et CSS, art. 143-24, actuel, en cas d’appel du contentieux technique)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l’alinéa 2 évoque la saisine de la cour d’appel spécialisée : comme devant le TGI non spécialisé, le tribunal d’instance ou le tribunal correctionnel, la saisine, acte distinct de l’acte introductif d’instance, est réalisée par le dépôt – les articles 757, 839, 857, etc., du code de procédure civile parlent de remise – d’une copie de l’assignation au greffe de la cour d’appel avant la date fixée pour l’audience, sous peine de caducité du recours que le président ou son délégué peut constater d’office.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142-13-2 reconduit les règles posées par l’article R. 143-21 actuel (délai de deux mois pour introduire le recours, point de départ variant selon la décision, etc.).</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142-13-3 reprend plus ou moins des règles actuellement prévues aux articles R. 143-26 et suivants. Aujourd’hui, l’article R. 143-27 confère des pouvoirs au président de section pour instruire les affaires qui ne sont pas en état d’être jugées. « Dans les faits, le recours à une instruction est systématique »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in Les principes essentiels du procès à l’épreuve des réformes récentes du droit judiciaire privé</w:t>
      </w:r>
      <w:r w:rsidRPr="00516913">
        <w:rPr>
          <w:rFonts w:ascii="Arial Narrow" w:hAnsi="Arial Narrow"/>
          <w:sz w:val="22"/>
          <w:szCs w:val="22"/>
          <w:lang w:eastAsia="fr-FR"/>
        </w:rPr>
        <w:t xml:space="preserve">, IRJS, p. 57 s., </w:t>
      </w:r>
      <w:proofErr w:type="spellStart"/>
      <w:r w:rsidRPr="00516913">
        <w:rPr>
          <w:rFonts w:ascii="Arial Narrow" w:hAnsi="Arial Narrow"/>
          <w:sz w:val="22"/>
          <w:szCs w:val="22"/>
          <w:lang w:eastAsia="fr-FR"/>
        </w:rPr>
        <w:t>spéc</w:t>
      </w:r>
      <w:proofErr w:type="spellEnd"/>
      <w:r w:rsidRPr="00516913">
        <w:rPr>
          <w:rFonts w:ascii="Arial Narrow" w:hAnsi="Arial Narrow"/>
          <w:sz w:val="22"/>
          <w:szCs w:val="22"/>
          <w:lang w:eastAsia="fr-FR"/>
        </w:rPr>
        <w:t>. p. 62).</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lastRenderedPageBreak/>
        <w:t>Selon l’article R. 142-13-3,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 lorsqu’une instruction est nécessaire, il est procédé selon les dispositions relatives à la procédure orale. Les dispositions de l’article R. 142-10-5 sont applicables ». On retrouve donc la curieuse combinaison de la procédure orale avec la mise en état écrite qui a cours devant le TGI (v. </w:t>
      </w:r>
      <w:r w:rsidRPr="00516913">
        <w:rPr>
          <w:rFonts w:ascii="Arial Narrow" w:hAnsi="Arial Narrow"/>
          <w:i/>
          <w:iCs/>
          <w:sz w:val="22"/>
          <w:szCs w:val="22"/>
          <w:lang w:eastAsia="fr-FR"/>
        </w:rPr>
        <w:t>supra</w:t>
      </w:r>
      <w:r w:rsidRPr="00516913">
        <w:rPr>
          <w:rFonts w:ascii="Arial Narrow" w:hAnsi="Arial Narrow"/>
          <w:sz w:val="22"/>
          <w:szCs w:val="22"/>
          <w:lang w:eastAsia="fr-FR"/>
        </w:rPr>
        <w:t>) et la possibilité de statuer sans audience. Le président de l’une des trois sections de la CNITAAT qui se répartissent les affaires peut déjà statuer sans audience préalable dans les mêmes conditions (actuel art. R. 143-26, al. 2, 2°).</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C’est le premier président ou son délégué qui exercera les pouvoirs de mise en état une affaire. Ceux-ci sont les « pouvoirs classiques d’un magistrat de la mise en état »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p. 63). On ne voit pas bien l’utilité de rappeler ces pouvoirs, le renvoi aux articles 763 à 781 se suffisant à la tâche. Pourtant, les alinéas 2 à 6 précisent (sans changement) qu’« il peut inviter les parties à fournir les explications qu’il estime nécessaires à la solution du litige et les mettre en demeure de produire, dans un délai qu’il détermine, tous documents ou justifications propres à éclairer la cour, faute de quoi il peut passer outre et renvoyer l’affaire devant la section qui tirera toute conséquence de l’abstention de la partie ou de son refus » ; « il peut ordonner, le cas échéant à peine d’astreinte, la production de documents détenus par un tiers s’il n’existe pas d’empêchement légitime » ; « il tranche les difficultés relatives à la communication des pièces. Il procède aux jonctions et disjonctions d’instance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Les alinéas 7 et 8 de l’article R. 142-13-3 reprennent en substance l’actuel article R. 143-28-1 : « il fixe la clôture de l’instruction ainsi que la date des débats » ; « postérieurement à la notification de l’ordonnance, les parties sont, sauf motif légitime, irrecevables à présenter des prétentions ou moyens nouveaux ou à communiquer de nouvelles pièces ». Outre le « motif légitime » déjà envisagé par le texte actuel, l’alinéa 7 pose des exceptions qui sont celles de l’article 783 du code de procédure civile pour le TGI de droit commun. Pourquoi, là encore, ne pas avoir plutôt renvoyé aux articles 763 à 784 du code de procédure civile ? Par ailleurs, cet effet de l’ordonnance de clôture ne joue actuellement que si les parties « ont usé de la faculté d’adresser un mémoire à la cour » et non en cas de procédure purement orale (v. </w:t>
      </w:r>
      <w:r w:rsidRPr="00516913">
        <w:rPr>
          <w:rFonts w:ascii="Arial Narrow" w:hAnsi="Arial Narrow"/>
          <w:i/>
          <w:iCs/>
          <w:sz w:val="22"/>
          <w:szCs w:val="22"/>
          <w:lang w:eastAsia="fr-FR"/>
        </w:rPr>
        <w:t>infra</w:t>
      </w:r>
      <w:r w:rsidRPr="00516913">
        <w:rPr>
          <w:rFonts w:ascii="Arial Narrow" w:hAnsi="Arial Narrow"/>
          <w:sz w:val="22"/>
          <w:szCs w:val="22"/>
          <w:lang w:eastAsia="fr-FR"/>
        </w:rPr>
        <w:t>) ; il n’y a plus lieu, semble-t-il, de distinguer.</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Il résulte de l’alinéa 9 que « les décisions prises en vertu du présent article constituent des mesures d’administration judiciaire, à l’exception des décisions qui constatent l’extinction de l’instance ou déclarent le recours irrecevable qui sont susceptibles de pourvoi en cassation ». C’est là une nouveauté : l’article R. 143-27, alinéa 8, en fait des décisions dépourvues, « au principal, [d]’autorité de la chose jugée », insusceptibles de « recours indépendamment de la décision sur le fond », pouvant toutefois « être déférées par simple requête à la Cour nationale de l’incapacité et de la tarification de l’assurance des accidents du travail dans un délai de quinze jours à compter de leur notification lorsqu’elles constatent l’extinction de l’instance ou déclarent l’appel irrecevable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Il n’est plus précisé ici que le juge « peut ordonner, même d’office, toute mesure d’instruction et notamment désigner, à titre de consultation, un ou plusieurs médecins experts chargés d’examiner le dossier médical soumis à la Cour nationale de l’incapacité et de la tarification de l’assurance des accidents du travail », cela résulte du nouvel article R. 142-16, disposition commune aux contentieux médicaux (v. </w:t>
      </w:r>
      <w:r w:rsidRPr="00516913">
        <w:rPr>
          <w:rFonts w:ascii="Arial Narrow" w:hAnsi="Arial Narrow"/>
          <w:i/>
          <w:iCs/>
          <w:sz w:val="22"/>
          <w:szCs w:val="22"/>
          <w:lang w:eastAsia="fr-FR"/>
        </w:rPr>
        <w:t>infra</w:t>
      </w:r>
      <w:r w:rsidRPr="00516913">
        <w:rPr>
          <w:rFonts w:ascii="Arial Narrow" w:hAnsi="Arial Narrow"/>
          <w:sz w:val="22"/>
          <w:szCs w:val="22"/>
          <w:lang w:eastAsia="fr-FR"/>
        </w:rPr>
        <w:t>).</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Autre nouveauté, la dispense légale de présentation spéciale à la CNITAAT prévue par l’article R. 143-26, issu du décret n° 2010-1165 du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octobre 2010, n’est pas reconduite. Aujourd’hui, les observations des parties peuvent être formalisées par écrit et/ou oral (actuels art. R. 143-25 et 26). L’article R. 143-26 prévoit expressément que « la procédure est orale », ce qui implique de se présenter à l’audience pour formuler des observations orales. C’est cependant une oralité hybride, les écrits y ayant une grande importance. En effet, l’envoi d’un mémoire en demande ou en réponse, « dans les conditions prévues à l’article R. 143-25 », dispense automatiquement de se présenter à l’audience, conformément à l’article 446-1, alinéa 2, du code de procédure civile : c’est là une dispense légale de présentation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J.-P. Teboul, « D’un principe de présence à une libre dispense de présentation ou les évolutions en cours de l’oralité» , </w:t>
      </w:r>
      <w:r w:rsidRPr="00516913">
        <w:rPr>
          <w:rFonts w:ascii="Arial Narrow" w:hAnsi="Arial Narrow"/>
          <w:i/>
          <w:iCs/>
          <w:sz w:val="22"/>
          <w:szCs w:val="22"/>
          <w:lang w:eastAsia="fr-FR"/>
        </w:rPr>
        <w:t>in </w:t>
      </w:r>
      <w:r w:rsidRPr="00516913">
        <w:rPr>
          <w:rFonts w:ascii="Arial Narrow" w:hAnsi="Arial Narrow"/>
          <w:sz w:val="22"/>
          <w:szCs w:val="22"/>
          <w:lang w:eastAsia="fr-FR"/>
        </w:rPr>
        <w:t xml:space="preserve">C. </w:t>
      </w:r>
      <w:proofErr w:type="spellStart"/>
      <w:r w:rsidRPr="00516913">
        <w:rPr>
          <w:rFonts w:ascii="Arial Narrow" w:hAnsi="Arial Narrow"/>
          <w:sz w:val="22"/>
          <w:szCs w:val="22"/>
          <w:lang w:eastAsia="fr-FR"/>
        </w:rPr>
        <w:t>Puigelier</w:t>
      </w:r>
      <w:proofErr w:type="spellEnd"/>
      <w:r w:rsidRPr="00516913">
        <w:rPr>
          <w:rFonts w:ascii="Arial Narrow" w:hAnsi="Arial Narrow"/>
          <w:sz w:val="22"/>
          <w:szCs w:val="22"/>
          <w:lang w:eastAsia="fr-FR"/>
        </w:rPr>
        <w:t xml:space="preserve"> et I. </w:t>
      </w:r>
      <w:proofErr w:type="spellStart"/>
      <w:r w:rsidRPr="00516913">
        <w:rPr>
          <w:rFonts w:ascii="Arial Narrow" w:hAnsi="Arial Narrow"/>
          <w:sz w:val="22"/>
          <w:szCs w:val="22"/>
          <w:lang w:eastAsia="fr-FR"/>
        </w:rPr>
        <w:t>Petel-Teyssié</w:t>
      </w:r>
      <w:proofErr w:type="spellEnd"/>
      <w:r w:rsidRPr="00516913">
        <w:rPr>
          <w:rFonts w:ascii="Arial Narrow" w:hAnsi="Arial Narrow"/>
          <w:sz w:val="22"/>
          <w:szCs w:val="22"/>
          <w:lang w:eastAsia="fr-FR"/>
        </w:rPr>
        <w:t xml:space="preserve"> [</w:t>
      </w:r>
      <w:proofErr w:type="spellStart"/>
      <w:r w:rsidRPr="00516913">
        <w:rPr>
          <w:rFonts w:ascii="Arial Narrow" w:hAnsi="Arial Narrow"/>
          <w:sz w:val="22"/>
          <w:szCs w:val="22"/>
          <w:lang w:eastAsia="fr-FR"/>
        </w:rPr>
        <w:t>dir</w:t>
      </w:r>
      <w:proofErr w:type="spellEnd"/>
      <w:r w:rsidRPr="00516913">
        <w:rPr>
          <w:rFonts w:ascii="Arial Narrow" w:hAnsi="Arial Narrow"/>
          <w:sz w:val="22"/>
          <w:szCs w:val="22"/>
          <w:lang w:eastAsia="fr-FR"/>
        </w:rPr>
        <w:t>.], </w:t>
      </w:r>
      <w:r w:rsidRPr="00516913">
        <w:rPr>
          <w:rFonts w:ascii="Arial Narrow" w:hAnsi="Arial Narrow"/>
          <w:i/>
          <w:iCs/>
          <w:sz w:val="22"/>
          <w:szCs w:val="22"/>
          <w:lang w:eastAsia="fr-FR"/>
        </w:rPr>
        <w:t>Quarantième anniversaire du Code de procédure civile [1975-2015]</w:t>
      </w:r>
      <w:r w:rsidRPr="00516913">
        <w:rPr>
          <w:rFonts w:ascii="Arial Narrow" w:hAnsi="Arial Narrow"/>
          <w:sz w:val="22"/>
          <w:szCs w:val="22"/>
          <w:lang w:eastAsia="fr-FR"/>
        </w:rPr>
        <w:t xml:space="preserve">, Éditions Panthéon-Assas, 2016, p. 109 s. ; Oralité « post-moderne » et notion d’écrit régulièrement communiqué…, D. 2017. 1588 </w:t>
      </w:r>
      <w:r w:rsidRPr="00516913">
        <w:rPr>
          <w:rFonts w:ascii="Arial Narrow" w:hAnsi="Arial Narrow"/>
          <w:noProof/>
          <w:color w:val="0000FF"/>
          <w:sz w:val="22"/>
          <w:szCs w:val="22"/>
          <w:lang w:eastAsia="fr-FR"/>
        </w:rPr>
        <w:drawing>
          <wp:inline distT="0" distB="0" distL="0" distR="0" wp14:anchorId="0F2FDF55" wp14:editId="7F290D6C">
            <wp:extent cx="114300" cy="123825"/>
            <wp:effectExtent l="0" t="0" r="0" b="9525"/>
            <wp:docPr id="22" name="Image 22" descr="https://www.dalloz-actualite.fr/sites/all/themes/dallozactu/icons/type_dalloz_fr_link.png">
              <a:hlinkClick xmlns:a="http://schemas.openxmlformats.org/drawingml/2006/main" r:id="rId44" tooltip="&quot;consulter le fond documentair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www.dalloz-actualite.fr/sites/all/themes/dallozactu/icons/type_dalloz_fr_link.png">
                      <a:hlinkClick r:id="rId44" tooltip="&quot;consulter le fond documentaire&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516913">
        <w:rPr>
          <w:rFonts w:ascii="Arial Narrow" w:hAnsi="Arial Narrow"/>
          <w:sz w:val="22"/>
          <w:szCs w:val="22"/>
          <w:lang w:eastAsia="fr-FR"/>
        </w:rPr>
        <w:t>;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p. 62). Cette dispense semble jouer aussi en matière de tarification, alors même que l’article R. 143-25 concerne l’appel (en ce sens,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p. 65).</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Est instituée à la place une dispense judiciaire, donc facultative pour le juge, de présentation, en tous points semblable à celles actuellement prévues aux articles R. 142-20-2,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et R. 143-10, alinéa 2, pour ce qui est des juridictions de sécurité sociale (v. art. 143-13-3, al. 3) : elle implique la présentation à au moins une </w:t>
      </w:r>
      <w:r w:rsidRPr="00516913">
        <w:rPr>
          <w:rFonts w:ascii="Arial Narrow" w:hAnsi="Arial Narrow"/>
          <w:sz w:val="22"/>
          <w:szCs w:val="22"/>
          <w:lang w:eastAsia="fr-FR"/>
        </w:rPr>
        <w:lastRenderedPageBreak/>
        <w:t>audience. La procédure sur mémoire semble donc abandonnée, alors que le décret de 2010 l’avait adoptée pour remédier à l’inconvénient pour les justiciables de l’éloignement de la CNITAAT… Semble, car l’alinéa 2 de l’article 143-13-3 énonce que « le premier président ou son délégué fixe les délais dans lesquels les parties à l’instance se communiquent leurs observations écrites et en remettent copie au greffe de la cour ». Comment articuler les alinéas 2 et 3 du texte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Compte tenu de la jurisprudence de la Cour de cassation sur les procédures « autonomes », exclues de la communication par voie électronique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et J.-P. Teboul, « Numérique et échanges procéduraux », </w:t>
      </w:r>
      <w:r w:rsidRPr="00516913">
        <w:rPr>
          <w:rFonts w:ascii="Arial Narrow" w:hAnsi="Arial Narrow"/>
          <w:i/>
          <w:iCs/>
          <w:sz w:val="22"/>
          <w:szCs w:val="22"/>
          <w:lang w:eastAsia="fr-FR"/>
        </w:rPr>
        <w:t>in Vers une procédure civile 2.0</w:t>
      </w:r>
      <w:r w:rsidRPr="00516913">
        <w:rPr>
          <w:rFonts w:ascii="Arial Narrow" w:hAnsi="Arial Narrow"/>
          <w:sz w:val="22"/>
          <w:szCs w:val="22"/>
          <w:lang w:eastAsia="fr-FR"/>
        </w:rPr>
        <w:t xml:space="preserve">, Dalloz, coll. « Thèmes et commentaires », 2018, p. 7 s. ; Dalloz actualité, 14 sept. 2018, obs. C. </w:t>
      </w:r>
      <w:proofErr w:type="spellStart"/>
      <w:r w:rsidRPr="00516913">
        <w:rPr>
          <w:rFonts w:ascii="Arial Narrow" w:hAnsi="Arial Narrow"/>
          <w:sz w:val="22"/>
          <w:szCs w:val="22"/>
          <w:lang w:eastAsia="fr-FR"/>
        </w:rPr>
        <w:t>Bléry</w:t>
      </w:r>
      <w:proofErr w:type="spellEnd"/>
      <w:r w:rsidRPr="00516913">
        <w:rPr>
          <w:rFonts w:ascii="Arial Narrow" w:hAnsi="Arial Narrow"/>
          <w:sz w:val="22"/>
          <w:szCs w:val="22"/>
          <w:lang w:eastAsia="fr-FR"/>
        </w:rPr>
        <w:t xml:space="preserve"> </w:t>
      </w:r>
      <w:r w:rsidRPr="00516913">
        <w:rPr>
          <w:rFonts w:ascii="Arial Narrow" w:hAnsi="Arial Narrow"/>
          <w:noProof/>
          <w:color w:val="0000FF"/>
          <w:sz w:val="22"/>
          <w:szCs w:val="22"/>
          <w:lang w:eastAsia="fr-FR"/>
        </w:rPr>
        <w:drawing>
          <wp:inline distT="0" distB="0" distL="0" distR="0" wp14:anchorId="3A9781BE" wp14:editId="440256D9">
            <wp:extent cx="85725" cy="114300"/>
            <wp:effectExtent l="0" t="0" r="9525" b="0"/>
            <wp:docPr id="23" name="Image 23" descr="https://www.dalloz-actualite.fr/sites/all/themes/dallozactu/icons/type_link_flash.png">
              <a:hlinkClick xmlns:a="http://schemas.openxmlformats.org/drawingml/2006/main" r:id="rId56" tooltip="&quot;Actualité&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www.dalloz-actualite.fr/sites/all/themes/dallozactu/icons/type_link_flash.png">
                      <a:hlinkClick r:id="rId56" tooltip="&quot;Actualité&quot;"/>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5725" cy="114300"/>
                    </a:xfrm>
                    <a:prstGeom prst="rect">
                      <a:avLst/>
                    </a:prstGeom>
                    <a:noFill/>
                    <a:ln>
                      <a:noFill/>
                    </a:ln>
                  </pic:spPr>
                </pic:pic>
              </a:graphicData>
            </a:graphic>
          </wp:inline>
        </w:drawing>
      </w:r>
      <w:r w:rsidRPr="00516913">
        <w:rPr>
          <w:rFonts w:ascii="Arial Narrow" w:hAnsi="Arial Narrow"/>
          <w:sz w:val="22"/>
          <w:szCs w:val="22"/>
          <w:lang w:eastAsia="fr-FR"/>
        </w:rPr>
        <w:t>), on peut craindre qu’un arrêté technique doive être pris pour que la RPVA soit utilisable devant la cour d’appel d’Amiens, en tant que juge de la tarification…</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Aujourd’hui, « une particularité notable de la procédure devant la CNITAAT est le rôle qu’y joue son secrétaire avant l’audience. Il est non seulement chargé de la notification des décisions du président de section, mais il lui incombe aussi un rôle d’intermédiaire entre les parties dans la transmission des mémoires et pièces, ce qui garantit un meilleur respect du contradictoire »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p. 64). Les dispositions qui régissent ce rôle du secrétaire général ne sont pas reconduites.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142-13-4,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prévoit qu’« à l’audience, le président de la formation de jugement [pourquoi pas « le premier président ou son délégué », visé à l’article précédent ?] qui a procédé à l’instruction fait son rapport, les parties présentes ou représentées sont entendue » : c’est la reconduction de la règle posée à l’actuel article R. 143-29-1, alinéa 1</w:t>
      </w:r>
      <w:r w:rsidRPr="00516913">
        <w:rPr>
          <w:rFonts w:ascii="Arial Narrow" w:hAnsi="Arial Narrow"/>
          <w:sz w:val="22"/>
          <w:szCs w:val="22"/>
          <w:vertAlign w:val="superscript"/>
          <w:lang w:eastAsia="fr-FR"/>
        </w:rPr>
        <w:t>er</w:t>
      </w:r>
      <w:r w:rsidRPr="00516913">
        <w:rPr>
          <w:rFonts w:ascii="Arial Narrow" w:hAnsi="Arial Narrow"/>
          <w:sz w:val="22"/>
          <w:szCs w:val="22"/>
          <w:lang w:eastAsia="fr-FR"/>
        </w:rPr>
        <w:t xml:space="preserve"> (mais </w:t>
      </w:r>
      <w:r w:rsidRPr="00516913">
        <w:rPr>
          <w:rFonts w:ascii="Arial Narrow" w:hAnsi="Arial Narrow"/>
          <w:i/>
          <w:iCs/>
          <w:sz w:val="22"/>
          <w:szCs w:val="22"/>
          <w:lang w:eastAsia="fr-FR"/>
        </w:rPr>
        <w:t>quid</w:t>
      </w:r>
      <w:r w:rsidRPr="00516913">
        <w:rPr>
          <w:rFonts w:ascii="Arial Narrow" w:hAnsi="Arial Narrow"/>
          <w:sz w:val="22"/>
          <w:szCs w:val="22"/>
          <w:lang w:eastAsia="fr-FR"/>
        </w:rPr>
        <w:t xml:space="preserve"> de leur convocation ? des délais ? </w:t>
      </w:r>
      <w:r w:rsidRPr="00516913">
        <w:rPr>
          <w:rFonts w:ascii="Arial Narrow" w:hAnsi="Arial Narrow"/>
          <w:i/>
          <w:iCs/>
          <w:sz w:val="22"/>
          <w:szCs w:val="22"/>
          <w:lang w:eastAsia="fr-FR"/>
        </w:rPr>
        <w:t>quid</w:t>
      </w:r>
      <w:r w:rsidRPr="00516913">
        <w:rPr>
          <w:rFonts w:ascii="Arial Narrow" w:hAnsi="Arial Narrow"/>
          <w:sz w:val="22"/>
          <w:szCs w:val="22"/>
          <w:lang w:eastAsia="fr-FR"/>
        </w:rPr>
        <w:t xml:space="preserve"> si une audience n’a pu se tenir ? v. actuels art. R. 143-28-2 et R. 143-29).</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142-13-4, alinéa 2, reprend une règle posée à l’actuel article R. 143-29-1, alinéa 2 : « lorsque les parties font valoir à l’audience des prétentions ou des moyens nouveaux, la cour peut, sans préjudice de l’application du huitième alinéa de l’article R. 142-13-3 [qui permet d’écarter les prétentions, moyens et pièces tardifs], retenir l’affaire si les parties sont en état d’en débattre contradictoirement, la renvoyer à une audience ultérieure ou, en cas de nécessité, en confier l’instruction au président de la formation de jugement [et non plus de la section] en révoquant, s’il y a lieu, l’ordonnance de clôture ». Actuellement, il semble que « l’ordonnance de clôture n’est donc pas opposable aux parties qui n’ont pas adressé d’écrit à la cour. Dans le cas contraire, que resterait-il du caractère oral de la procédure ? » (G. </w:t>
      </w:r>
      <w:proofErr w:type="spellStart"/>
      <w:r w:rsidRPr="00516913">
        <w:rPr>
          <w:rFonts w:ascii="Arial Narrow" w:hAnsi="Arial Narrow"/>
          <w:sz w:val="22"/>
          <w:szCs w:val="22"/>
          <w:lang w:eastAsia="fr-FR"/>
        </w:rPr>
        <w:t>Poirotte</w:t>
      </w:r>
      <w:proofErr w:type="spellEnd"/>
      <w:r w:rsidRPr="00516913">
        <w:rPr>
          <w:rFonts w:ascii="Arial Narrow" w:hAnsi="Arial Narrow"/>
          <w:sz w:val="22"/>
          <w:szCs w:val="22"/>
          <w:lang w:eastAsia="fr-FR"/>
        </w:rPr>
        <w:t xml:space="preserve">, </w:t>
      </w:r>
      <w:r w:rsidRPr="00516913">
        <w:rPr>
          <w:rFonts w:ascii="Arial Narrow" w:hAnsi="Arial Narrow"/>
          <w:i/>
          <w:iCs/>
          <w:sz w:val="22"/>
          <w:szCs w:val="22"/>
          <w:lang w:eastAsia="fr-FR"/>
        </w:rPr>
        <w:t xml:space="preserve">op. </w:t>
      </w:r>
      <w:proofErr w:type="spellStart"/>
      <w:proofErr w:type="gramStart"/>
      <w:r w:rsidRPr="00516913">
        <w:rPr>
          <w:rFonts w:ascii="Arial Narrow" w:hAnsi="Arial Narrow"/>
          <w:i/>
          <w:iCs/>
          <w:sz w:val="22"/>
          <w:szCs w:val="22"/>
          <w:lang w:eastAsia="fr-FR"/>
        </w:rPr>
        <w:t>cit</w:t>
      </w:r>
      <w:proofErr w:type="spellEnd"/>
      <w:proofErr w:type="gramEnd"/>
      <w:r w:rsidRPr="00516913">
        <w:rPr>
          <w:rFonts w:ascii="Arial Narrow" w:hAnsi="Arial Narrow"/>
          <w:i/>
          <w:iCs/>
          <w:sz w:val="22"/>
          <w:szCs w:val="22"/>
          <w:lang w:eastAsia="fr-FR"/>
        </w:rPr>
        <w:t>.</w:t>
      </w:r>
      <w:r w:rsidRPr="00516913">
        <w:rPr>
          <w:rFonts w:ascii="Arial Narrow" w:hAnsi="Arial Narrow"/>
          <w:sz w:val="22"/>
          <w:szCs w:val="22"/>
          <w:lang w:eastAsia="fr-FR"/>
        </w:rPr>
        <w:t>, p. 64). Cela n’est-il pas remis en cause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L’article R. 142-13-5 rappelle que « la cour statue en premier et dernier ressort » et précise que « sa décision est notifiée aux parties par lettre recommandée avec demande d’avis de réception », sans envisager un retour comme l’article R. 143-29-2 actuel, mais l’article 670-1 du code de procédure civile y supplée assez. De même, l’article 680 du même code impose la mention des délais et voies de recours.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L’article R. 143-30 actuel, qui limite l’ouverture de l’opposition, n’est pas reconduit. Mais, là encore, les règles du code de procédure civile s’appliquent (C. </w:t>
      </w:r>
      <w:proofErr w:type="spellStart"/>
      <w:r w:rsidRPr="00516913">
        <w:rPr>
          <w:rFonts w:ascii="Arial Narrow" w:hAnsi="Arial Narrow"/>
          <w:sz w:val="22"/>
          <w:szCs w:val="22"/>
          <w:lang w:eastAsia="fr-FR"/>
        </w:rPr>
        <w:t>pr</w:t>
      </w:r>
      <w:proofErr w:type="spellEnd"/>
      <w:r w:rsidRPr="00516913">
        <w:rPr>
          <w:rFonts w:ascii="Arial Narrow" w:hAnsi="Arial Narrow"/>
          <w:sz w:val="22"/>
          <w:szCs w:val="22"/>
          <w:lang w:eastAsia="fr-FR"/>
        </w:rPr>
        <w:t>. civ., art. 473, 474, 571).</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i/>
          <w:iCs/>
          <w:sz w:val="22"/>
          <w:szCs w:val="22"/>
          <w:lang w:eastAsia="fr-FR"/>
        </w:rPr>
        <w:t>C. B.</w:t>
      </w:r>
    </w:p>
    <w:p w:rsidR="00516913" w:rsidRPr="00516913" w:rsidRDefault="00516913" w:rsidP="004037BF">
      <w:pPr>
        <w:spacing w:before="120"/>
        <w:outlineLvl w:val="1"/>
        <w:rPr>
          <w:rFonts w:ascii="Arial Narrow" w:hAnsi="Arial Narrow"/>
          <w:b/>
          <w:bCs/>
          <w:sz w:val="22"/>
          <w:szCs w:val="22"/>
          <w:lang w:eastAsia="fr-FR"/>
        </w:rPr>
      </w:pPr>
      <w:bookmarkStart w:id="3" w:name="partie_1_4"/>
      <w:r w:rsidRPr="00516913">
        <w:rPr>
          <w:rFonts w:ascii="Arial Narrow" w:hAnsi="Arial Narrow"/>
          <w:b/>
          <w:bCs/>
          <w:sz w:val="22"/>
          <w:szCs w:val="22"/>
          <w:lang w:eastAsia="fr-FR"/>
        </w:rPr>
        <w:t>Focus sur le recours préalable obligatoire</w:t>
      </w:r>
      <w:bookmarkEnd w:id="3"/>
      <w:r w:rsidRPr="00516913">
        <w:rPr>
          <w:rFonts w:ascii="Arial Narrow" w:hAnsi="Arial Narrow"/>
          <w:b/>
          <w:bCs/>
          <w:sz w:val="22"/>
          <w:szCs w:val="22"/>
          <w:lang w:eastAsia="fr-FR"/>
        </w:rPr>
        <w:t xml:space="preserv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Jusqu’au décret n° 2018-928 du 29 octobre 2018, le code de la sécurité sociale n’évoquait pas aussi nettement la notion de recours préalable obligatoire. Elle résultait de la combinaison de plusieurs articles relatifs à la commission de recours amiable de l’organisme social devant laquelle il s’effectue. Pour autant, l’absence de recours préalable rendait déjà irrecevable le recours juridictionnel qui pouvait être fait, comme cela résulte de la jurisprudence.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De manière plus claire, la section 2, qui était consacrée à la commission de recours amiable, s’intitule désormais « Recours préalable obligatoire ». Elle comprend deux sous-sections qui distinguent en fonction des matières concernées. La première sous-section est consacrée au « Recours administratif préalable obligatoire mentionné à l’article L. 142-4 », lequel renvoie aux articles L. 142-1 et L. 142-3, issus de la loi J21. Cela correspond aux matières du contentieux général de la sécurité sociale (les litiges relatifs à l’application des législations et réglementations de sécurité sociale, à l’exception du contentieux technique de la sécurité sociale), ainsi qu’au contentieux du recouvrement des cotisations, versements et contributions sociales spécialement visés par le code de la sécurité sociale et le code du travail, c’est-à-dire pour l’essentiel à la compétence du TASS. À ces </w:t>
      </w:r>
      <w:r w:rsidRPr="00516913">
        <w:rPr>
          <w:rFonts w:ascii="Arial Narrow" w:hAnsi="Arial Narrow"/>
          <w:sz w:val="22"/>
          <w:szCs w:val="22"/>
          <w:lang w:eastAsia="fr-FR"/>
        </w:rPr>
        <w:lastRenderedPageBreak/>
        <w:t xml:space="preserve">matières s’ajoutent les demandes d’attribution de la protection complémentaire en matière de santé (CMU C) et au crédit d’impôt relatif à l’aide au paiement d’une assurance complémentaire santé (ACS), qui sont traitées par les caisses d’assurance maladie, dont le recours juridictionnel relève jusqu’au 31 décembre de la commission départementale d’aide sociale (CDAS), et qui n’avaient pas à être précédées d’un recours administratif préalable. Cette première sous-section reprend les articles R. 142-1 à R. 142-7 qui formaient jusqu’à présent l’ensemble de la section 2. La modification essentielle de ces articles est l’extension d’un mois à deux mois du délai conduisant à une décision de rejet (décision implicite de rejet) de la commission de recours amiable, lorsque sa décision n’a pas été portée à la connaissance du requérant, après qu’elle a été saisie du recours préalable obligatoire. Cette extension est de nature à donner aux commissions de recours amiable un temps précieux pour l’examen des nombreux recours et de réduire le nombre important de décisions implicites, ainsi qu’aux services administratifs de l’organisme la possibilité d’effectuer le cas échéant une nouvelle analyse qui prend en compte les moyens soulevés lors du recours, outre qu’enfin, ce délai permet un alignement avec le délai de deux mois prévu par le code des relations du public avec l’administration concernant la valeur du silence gardé par l’administration (CRPA, art. L. 231-4). C’est toujours à partir de cette décision implicite que le délai de recours contentieux commence à courir. À cet égard, l’article R. 142-1 A III relatif aux dispositions générales (v. </w:t>
      </w:r>
      <w:r w:rsidRPr="00516913">
        <w:rPr>
          <w:rFonts w:ascii="Arial Narrow" w:hAnsi="Arial Narrow"/>
          <w:i/>
          <w:iCs/>
          <w:sz w:val="22"/>
          <w:szCs w:val="22"/>
          <w:lang w:eastAsia="fr-FR"/>
        </w:rPr>
        <w:t>supra</w:t>
      </w:r>
      <w:r w:rsidRPr="00516913">
        <w:rPr>
          <w:rFonts w:ascii="Arial Narrow" w:hAnsi="Arial Narrow"/>
          <w:sz w:val="22"/>
          <w:szCs w:val="22"/>
          <w:lang w:eastAsia="fr-FR"/>
        </w:rPr>
        <w:t>) prévoit que le délai de recours contentieux de deux mois ne sera opposable que si l’accusé de réception du recours préalable a informé du délai et de la voie de recours en cas de décision implicite.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Quant à la seconde sous-section relative au « Recours préalable obligatoire mentionné à l’article L. 142-5 », elle est novatrice dans la mesure où elle introduit dans le domaine du contentieux technique de la sécurité sociale (art. L. 142-2) le recours préalable obligatoire, à l’exception du contentieux dit de la tarification des accidents du travail et des maladies professionnelles (v. art. L. 142-5 excluant les litiges de l’art. L. 142-2, 4°).</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Les principaux changements intervenus sont relatifs au recours préalable applicable aux matières mentionnées aux 1°, 2° et 3° de l’article L. 142-2 et qui sont traités dans un premier paragraphe (art. R. 142-8 à R. 142-8-7). Ces litiges portent sur l’état d’incapacité permanente de travail, en particulier le taux de cette incapacité, en cas d’accident du travail ou de maladie professionnelle, ainsi que sur l’état ou le degré d’invalidité et l’état d’inaptitude au travail en cas d’accident ou de maladie hors risque professionnel. Il s’agit des litiges les plus nombreux dont le tribunal du contentieux de l’incapacité est chargé jusqu’au 31 décembre 2018. Ces changements passent par la création d’une commission médicale de recours amiable, chargée d’examiner le recours préalable obligatoire et de prendre une décision. Ce recours est spécifiquement de nature médicale. Il n’a pas vocation en principe à aborder des difficultés d’ordre administratif où le médical n’est pas en cause. Les nouveaux articles R. 142-8 à R. 142-8-7 définissent les règles de composition, d’organisation et plus généralement de procédure de ce nouvel organe, amené à jouer un rôle important, avec pour perspective de limiter le contentieux. Un arrêté interministériel devra en préciser les règles de fonctionnement. On retiendra principalement que la commission médicale dont le ressort territorial est en principe celui de l’échelon régional du contrôle médical du régime intéressé est composée de trois médecins désignés par le responsable du service médical territorialement compétent. Deux des médecins sont désignés parmi les experts figurant sur la liste des experts judiciaires en matière de sécurité sociale ou en matière de médecine légale du vivant-dommage corporel et traumatologie séquellaire. Le troisième médecin est un praticien-conseil. Le médecin qui a soigné le malade ou la victime, qui est attaché à l’employeur ou qui a rendu l’avis en tant que praticien-conseil de l’organisme social ne pourra pas siéger dans la commission lorsqu’elle examinera la situation du cas considéré. En pratique, la désignation de deux experts judiciaires pourrait poser des difficultés au regard du nombre d’experts inscrits ou disponibles, en considération des besoins pour le contentieux. Cette commission est assistée d’un secrétariat dont les membres sont placés sous la responsabilité d’un médecin-conseil par le directeur de la caisse nationale compétente. Le secrétariat est chargé de la réception et de la transmission des pièces entre les intéressés, ainsi que de la préparation du dossier. La commission médicale peut être saisie par l’assuré ou le cas échéant par l’employeur par tous moyens lui conférant date certaine, dans les deux mois de la décision contestée sous peine de forclusion. Dès la réception du recours, le secrétariat en adresse copie au praticien-conseil de la caisse, dont l’avis repris par la décision de l’organisme social est contesté. À son tour, ce praticien-conseil devra transmettre à la commission, dans les dix jours de sa réception, l’intégralité du rapport médical mentionné à l’article L. 142-6, lequel reprend les constats résultant de l’examen clinique et les examens consultés par le praticien-conseil. L’établissement de ce rapport implique une synthèse spécifique et complète de la situation médicale de l’assuré liée à la prise en charge médicale qui est en débat. Il ne saurait être confondu avec la fiche du colloque médico-administratif ou encore les fiches de liaison utilisées entre le service du contrôle médical et les services administratifs de la caisse, lors de l’instruction d’un dossier ou pour l’examen de certaines prescriptions </w:t>
      </w:r>
      <w:r w:rsidRPr="00516913">
        <w:rPr>
          <w:rFonts w:ascii="Arial Narrow" w:hAnsi="Arial Narrow"/>
          <w:sz w:val="22"/>
          <w:szCs w:val="22"/>
          <w:lang w:eastAsia="fr-FR"/>
        </w:rPr>
        <w:lastRenderedPageBreak/>
        <w:t>médicales. Ce rapport est accompagné de l’avis transmis à la caisse de sécurité sociale sur l’état et le degré d’invalidité ou sur le taux d’incapacité permanente. À réception de ces pièces, le secrétariat devra les notifier sans délai à l’assuré ayant formé le recours, ainsi qu’au médecin mandaté par l’employeur, si ce dernier est l’auteur du recours, dans ce cas en informant l’assuré ou son bénéficiaire de cette notification. L’assuré ou l’employeur dispose alors de vingt jours pour faire valoir leurs observations à la commission par tout moyen conférant date certaine.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Avant de rendre son rapport sur la situation dont elle est saisie, la commission médicale peut procéder à l’examen de l’assuré lorsqu’il est l’auteur du recours préalable ou désigner « un médecin spécialiste ou compétent », « en cas d’impossibilité de déplacement liée au particulier éloignement géographique ». En cas d’examen, l’assuré pourra être accompagné d’un médecin de son choix. La commission statue donc en principe sur dossier, ce qui n’est pas </w:t>
      </w:r>
      <w:r w:rsidRPr="00516913">
        <w:rPr>
          <w:rFonts w:ascii="Arial Narrow" w:hAnsi="Arial Narrow"/>
          <w:i/>
          <w:iCs/>
          <w:sz w:val="22"/>
          <w:szCs w:val="22"/>
          <w:lang w:eastAsia="fr-FR"/>
        </w:rPr>
        <w:t>a priori</w:t>
      </w:r>
      <w:r w:rsidRPr="00516913">
        <w:rPr>
          <w:rFonts w:ascii="Arial Narrow" w:hAnsi="Arial Narrow"/>
          <w:sz w:val="22"/>
          <w:szCs w:val="22"/>
          <w:lang w:eastAsia="fr-FR"/>
        </w:rPr>
        <w:t xml:space="preserve"> de nature, en cas de décision défavorable, à faire diminuer le nombre de recours, eu égard au sentiment que pourrait avoir l’assuré de ne pas avoir été entendu, surtout dans l’expression de ses doléances qui touchent à son corps et qui s’appuient en général sur des certificats médicaux qu’il a obtenus. La pratique à venir des commissions médicales de recours amiable apparaît d’ores et déjà déterminante.</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Le rapport établi par la commission doit comporter son analyse du dossier et ses constatations, ainsi que des conclusions motivées aux termes desquelles elle statue en rendant une décision. Sans délai, le secrétariat devra notifier la décision à l’intéressé, lequel pourra se faire communiquer à sa demande une copie sous pli confidentiel du rapport ou à son médecin mandaté s’il est l’employeur. Si la commission médicale de recours ne s’est pas prononcée dans le délai de quatre mois à compter de l’introduction du recours une décision implicite de rejet en résulte, qui ouvre la voie au recours juridictionnel devant être formé dans le délai de deux mois. À la différence de la commission de recours amiable ordinaire, qui est une émanation du conseil d’administration de l’organisme social (v. CSS, art. R. 142-1), la commission médicale de recours amiable est un organe institutionnellement à part des organismes sociaux, dont d’ailleurs les décisions ne devront pas être transmises au contrôle de tutelle (v. art. L. 151-1).</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i/>
          <w:iCs/>
          <w:sz w:val="22"/>
          <w:szCs w:val="22"/>
          <w:lang w:eastAsia="fr-FR"/>
        </w:rPr>
        <w:t>E. T.</w:t>
      </w:r>
    </w:p>
    <w:p w:rsidR="00516913" w:rsidRPr="00516913" w:rsidRDefault="00516913" w:rsidP="004037BF">
      <w:pPr>
        <w:spacing w:before="120"/>
        <w:outlineLvl w:val="1"/>
        <w:rPr>
          <w:rFonts w:ascii="Arial Narrow" w:hAnsi="Arial Narrow"/>
          <w:b/>
          <w:bCs/>
          <w:sz w:val="22"/>
          <w:szCs w:val="22"/>
          <w:lang w:eastAsia="fr-FR"/>
        </w:rPr>
      </w:pPr>
      <w:bookmarkStart w:id="4" w:name="partie_1_5"/>
      <w:bookmarkStart w:id="5" w:name="_GoBack"/>
      <w:bookmarkEnd w:id="5"/>
      <w:r w:rsidRPr="00516913">
        <w:rPr>
          <w:rFonts w:ascii="Arial Narrow" w:hAnsi="Arial Narrow"/>
          <w:b/>
          <w:bCs/>
          <w:sz w:val="22"/>
          <w:szCs w:val="22"/>
          <w:lang w:eastAsia="fr-FR"/>
        </w:rPr>
        <w:t>Focus sur les mesures d’instruction</w:t>
      </w:r>
      <w:bookmarkEnd w:id="4"/>
      <w:r w:rsidRPr="00516913">
        <w:rPr>
          <w:rFonts w:ascii="Arial Narrow" w:hAnsi="Arial Narrow"/>
          <w:b/>
          <w:bCs/>
          <w:sz w:val="22"/>
          <w:szCs w:val="22"/>
          <w:lang w:eastAsia="fr-FR"/>
        </w:rPr>
        <w:t xml:space="preserve">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La nouvelle section 5 intitulée « Mesures d’instruction » traite exclusivement des expertises relevant du domaine médical, même s’il est rappelé au début que la juridiction « peut ordonner toute mesure d’instruction » (art. R. 142-16), qui devra respecter les prescriptions du code de procédure civile, conformément au renvoi fait au titre des dispositions générales par le nouvel article R. 142-1 A (v. </w:t>
      </w:r>
      <w:r w:rsidRPr="00516913">
        <w:rPr>
          <w:rFonts w:ascii="Arial Narrow" w:hAnsi="Arial Narrow"/>
          <w:i/>
          <w:iCs/>
          <w:sz w:val="22"/>
          <w:szCs w:val="22"/>
          <w:lang w:eastAsia="fr-FR"/>
        </w:rPr>
        <w:t>supra</w:t>
      </w:r>
      <w:r w:rsidRPr="00516913">
        <w:rPr>
          <w:rFonts w:ascii="Arial Narrow" w:hAnsi="Arial Narrow"/>
          <w:sz w:val="22"/>
          <w:szCs w:val="22"/>
          <w:lang w:eastAsia="fr-FR"/>
        </w:rPr>
        <w:t>).</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Deux sous-sections permettent de distinguer entre des dispositions communes (art. R. 142-16 à R. 142-16-4) et des dispositions particulières à certaines mesures d’instruction (art. R. 142-17 à R. 142-17-3), ce qui permet de clarifier le cadre un peu complexe des différentes expertises médicales en contentieux de la sécurité sociale, auxquelles le juge est amené à recourir, sans pour autant en supprimer des particularités (v. par ex. l’expertise médicale de l’art. L. 141-1 ou encore le recours au comité régional de reconnaissance des maladies professionnelles).</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Au titre des dispositions communes qui sont relatives au contentieux général de la sécurité sociale (art. L. 142-1, 1°) et au contentieux technique (art. L. 142-2, 1°, 2°, 3°, 5° et 6°), on soulignera la possibilité offerte à la juridiction de faire pratiquer sur-le-champ une consultation, possibilité déjà offerte devant le TCI et très utilisée en pratique, que le tribunal des affaires de sécurité sociale ne connaissait pas. Désormais, l’article R. 142-16 dispose que la mesure d’instruction ordonnée « […] peut prendre la forme d’une consultation clinique ou sur pièces exécutée à l’audience, par un consultant avisé de sa mission par tous moyens, dans des conditions assurant la confidentialité, en cas d’examen de la personne intéressée ». Cette consultation clinique, impliquant un examen de l’assuré ou de la victime, apparaît limitée quant à sa complexité si l’on se réfère aux notions employées de consultation et de consultant figurant aux articles 256 et suivants du code de procédure civile, alors que l’expertise implique une plus grande complexité d’après l’article 263 du code de procédure civile. Ce problème d’interprétation ne se posait pas dans les mêmes termes devant le TCI, du moins formellement, puisque selon l’article R. 143-13 en vigueur jusqu’au 31 décembre 2018, c’est une expertise ou une consultation qui peut être exécutée sur-le-champ. Au-delà des aspects matériels susceptibles de se poser pour l’organisation </w:t>
      </w:r>
      <w:r w:rsidRPr="00516913">
        <w:rPr>
          <w:rFonts w:ascii="Arial Narrow" w:hAnsi="Arial Narrow"/>
          <w:sz w:val="22"/>
          <w:szCs w:val="22"/>
          <w:lang w:eastAsia="fr-FR"/>
        </w:rPr>
        <w:lastRenderedPageBreak/>
        <w:t>de ces consultations dans les palais (existence d’une salle de consultation médicale), l’accueil qui sera fait de cette possibilité par les tribunaux de grande instance désignés ne manquera pas d’être observé. Il serait à craindre qu’en raison de la pratique judiciaire générale, qui est peu familière des mesures d’instruction réalisées sur-le-champ, que la consultation lors de l’audience n’ait pas le même succès que devant le TCI, même si beaucoup de praticiens y voient de l’efficacité. Par ailleurs, quelle place pourra avoir cette mesure d’instruction médicale de circuit court dans les contentieux de l’article L. 142-2, 1°, 2° et 3° si l’on attend d’elle des éléments censés apporter une contradiction à l’examen collégial de la commission médicale de recours amiable, qui, lui, aura donné lieu à un rapport écrit avec des conclusions motivées ?</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 xml:space="preserve">Selon les nouveaux articles R. 142-16-1 et R. 142-16-2, l’expert ou le consultant est choisi sur l’une des listes prévues à l’article R. 141-1 ou, à défaut, ce qui est nouveau, parmi les médecins spécialistes ou compétents pour l’affection considérée. Pour certaines expertises, des dispositions particulières continuent de régir le choix de l’expert par la juridiction (v. art. R. 142-17 : mise en </w:t>
      </w:r>
      <w:proofErr w:type="spellStart"/>
      <w:r w:rsidRPr="00516913">
        <w:rPr>
          <w:rFonts w:ascii="Arial Narrow" w:hAnsi="Arial Narrow"/>
          <w:sz w:val="22"/>
          <w:szCs w:val="22"/>
          <w:lang w:eastAsia="fr-FR"/>
        </w:rPr>
        <w:t>oeuvre</w:t>
      </w:r>
      <w:proofErr w:type="spellEnd"/>
      <w:r w:rsidRPr="00516913">
        <w:rPr>
          <w:rFonts w:ascii="Arial Narrow" w:hAnsi="Arial Narrow"/>
          <w:sz w:val="22"/>
          <w:szCs w:val="22"/>
          <w:lang w:eastAsia="fr-FR"/>
        </w:rPr>
        <w:t xml:space="preserve"> de la procédure spécifique d’expertise médicale de l’article L. 141-1 ; v. art. 142-17-3 : expertise spécialisée dans le contentieux de l’article L. 162-1-7 de la prise en charge ou du remboursement par l’assurance maladie d’actes ou de prestations d’un professionnel de santé auprès d’un autre professionnel).</w:t>
      </w:r>
    </w:p>
    <w:p w:rsidR="00516913" w:rsidRPr="00516913" w:rsidRDefault="00516913" w:rsidP="00244AA8">
      <w:pPr>
        <w:spacing w:before="120"/>
        <w:rPr>
          <w:rFonts w:ascii="Arial Narrow" w:hAnsi="Arial Narrow"/>
          <w:sz w:val="22"/>
          <w:szCs w:val="22"/>
          <w:lang w:eastAsia="fr-FR"/>
        </w:rPr>
      </w:pPr>
      <w:r w:rsidRPr="00516913">
        <w:rPr>
          <w:rFonts w:ascii="Arial Narrow" w:hAnsi="Arial Narrow"/>
          <w:sz w:val="22"/>
          <w:szCs w:val="22"/>
          <w:lang w:eastAsia="fr-FR"/>
        </w:rPr>
        <w:t>Enfin, concernant le juge administratif, le nouvel article R. 772-10 du code de justice administrative, inséré dans le chapitre relatif aux contentieux sociaux, permet d’ordonner une expertise médicale lors de l’examen d’une requête relative aux prestations, allocations ou droits attribués au titre de l’aide ou de l’action sociale, dont les frais seront à la charge de l’État. Cette mesure d’instruction vient compléter utilement les pouvoirs du juge, lequel peut, selon les prescriptions de l’article R. 772-9, poursuivre à l’audience, sur observations orales des parties, la procédure contradictoire sur les éléments de fait qui conditionnent l’attribution de la prestation ou de l’allocation ou la reconnaissance du droit.</w:t>
      </w:r>
    </w:p>
    <w:p w:rsidR="004603D6" w:rsidRPr="00244AA8" w:rsidRDefault="004603D6" w:rsidP="00244AA8">
      <w:pPr>
        <w:spacing w:before="120"/>
        <w:rPr>
          <w:rFonts w:ascii="Arial Narrow" w:eastAsia="Calibri" w:hAnsi="Arial Narrow"/>
          <w:sz w:val="22"/>
          <w:szCs w:val="22"/>
        </w:rPr>
      </w:pPr>
    </w:p>
    <w:sectPr w:rsidR="004603D6" w:rsidRPr="00244AA8" w:rsidSect="00292C1B">
      <w:headerReference w:type="even" r:id="rId57"/>
      <w:headerReference w:type="default" r:id="rId58"/>
      <w:footerReference w:type="even" r:id="rId59"/>
      <w:footerReference w:type="default" r:id="rId60"/>
      <w:headerReference w:type="first" r:id="rId61"/>
      <w:footerReference w:type="first" r:id="rId62"/>
      <w:endnotePr>
        <w:numFmt w:val="decimal"/>
      </w:endnotePr>
      <w:pgSz w:w="11906" w:h="16838"/>
      <w:pgMar w:top="1417" w:right="1417" w:bottom="1417" w:left="1417"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9CE" w:rsidRDefault="00A739CE" w:rsidP="00437985">
      <w:r>
        <w:separator/>
      </w:r>
    </w:p>
  </w:endnote>
  <w:endnote w:type="continuationSeparator" w:id="0">
    <w:p w:rsidR="00A739CE" w:rsidRDefault="00A739CE" w:rsidP="004379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64" w:rsidRDefault="00D7416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7C3A" w:rsidRPr="00EB6C8F" w:rsidRDefault="002D7C3A" w:rsidP="00EB6C8F">
    <w:pPr>
      <w:pStyle w:val="Pieddepage"/>
      <w:pBdr>
        <w:top w:val="single" w:sz="4" w:space="0" w:color="auto"/>
      </w:pBdr>
      <w:tabs>
        <w:tab w:val="clear" w:pos="4536"/>
        <w:tab w:val="center" w:pos="4860"/>
        <w:tab w:val="left" w:pos="8364"/>
      </w:tabs>
      <w:rPr>
        <w:rFonts w:ascii="Arial Narrow" w:hAnsi="Arial Narrow"/>
      </w:rPr>
    </w:pPr>
    <w:r>
      <w:tab/>
    </w:r>
    <w:r w:rsidRPr="00651D35">
      <w:rPr>
        <w:rStyle w:val="Numrodepage"/>
        <w:rFonts w:ascii="Arial Narrow" w:hAnsi="Arial Narrow"/>
      </w:rPr>
      <w:fldChar w:fldCharType="begin"/>
    </w:r>
    <w:r w:rsidRPr="00651D35">
      <w:rPr>
        <w:rStyle w:val="Numrodepage"/>
        <w:rFonts w:ascii="Arial Narrow" w:hAnsi="Arial Narrow"/>
      </w:rPr>
      <w:instrText xml:space="preserve"> PAGE </w:instrText>
    </w:r>
    <w:r w:rsidRPr="00651D35">
      <w:rPr>
        <w:rStyle w:val="Numrodepage"/>
        <w:rFonts w:ascii="Arial Narrow" w:hAnsi="Arial Narrow"/>
      </w:rPr>
      <w:fldChar w:fldCharType="separate"/>
    </w:r>
    <w:r>
      <w:rPr>
        <w:rStyle w:val="Numrodepage"/>
        <w:rFonts w:ascii="Arial Narrow" w:hAnsi="Arial Narrow"/>
        <w:noProof/>
      </w:rPr>
      <w:t>1</w:t>
    </w:r>
    <w:r w:rsidRPr="00651D35">
      <w:rPr>
        <w:rStyle w:val="Numrodepage"/>
        <w:rFonts w:ascii="Arial Narrow" w:hAnsi="Arial Narrow"/>
      </w:rPr>
      <w:fldChar w:fldCharType="end"/>
    </w:r>
    <w:r w:rsidRPr="00651D35">
      <w:rPr>
        <w:rStyle w:val="Numrodepage"/>
        <w:rFonts w:ascii="Arial Narrow" w:hAnsi="Arial Narrow"/>
      </w:rPr>
      <w:t xml:space="preserve"> / </w:t>
    </w:r>
    <w:r w:rsidRPr="00651D35">
      <w:rPr>
        <w:rStyle w:val="Numrodepage"/>
        <w:rFonts w:ascii="Arial Narrow" w:hAnsi="Arial Narrow"/>
      </w:rPr>
      <w:fldChar w:fldCharType="begin"/>
    </w:r>
    <w:r w:rsidRPr="00651D35">
      <w:rPr>
        <w:rStyle w:val="Numrodepage"/>
        <w:rFonts w:ascii="Arial Narrow" w:hAnsi="Arial Narrow"/>
      </w:rPr>
      <w:instrText xml:space="preserve"> NUMPAGES </w:instrText>
    </w:r>
    <w:r w:rsidRPr="00651D35">
      <w:rPr>
        <w:rStyle w:val="Numrodepage"/>
        <w:rFonts w:ascii="Arial Narrow" w:hAnsi="Arial Narrow"/>
      </w:rPr>
      <w:fldChar w:fldCharType="separate"/>
    </w:r>
    <w:r>
      <w:rPr>
        <w:rStyle w:val="Numrodepage"/>
        <w:rFonts w:ascii="Arial Narrow" w:hAnsi="Arial Narrow"/>
        <w:noProof/>
      </w:rPr>
      <w:t>27</w:t>
    </w:r>
    <w:r w:rsidRPr="00651D35">
      <w:rPr>
        <w:rStyle w:val="Numrodepage"/>
        <w:rFonts w:ascii="Arial Narrow" w:hAnsi="Arial Narrow"/>
      </w:rPr>
      <w:fldChar w:fldCharType="end"/>
    </w:r>
    <w:r w:rsidRPr="00C048E1">
      <w:rPr>
        <w:rStyle w:val="Numrodepage"/>
      </w:rPr>
      <w:tab/>
    </w:r>
  </w:p>
  <w:p w:rsidR="002D7C3A" w:rsidRPr="007303D1" w:rsidRDefault="002D7C3A" w:rsidP="007303D1">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64" w:rsidRDefault="00D741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9CE" w:rsidRDefault="00A739CE" w:rsidP="00437985">
      <w:r>
        <w:separator/>
      </w:r>
    </w:p>
  </w:footnote>
  <w:footnote w:type="continuationSeparator" w:id="0">
    <w:p w:rsidR="00A739CE" w:rsidRDefault="00A739CE" w:rsidP="004379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64" w:rsidRDefault="00D7416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64" w:rsidRDefault="00D7416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4164" w:rsidRDefault="00D7416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00E5B18"/>
    <w:lvl w:ilvl="0">
      <w:start w:val="1"/>
      <w:numFmt w:val="decimal"/>
      <w:pStyle w:val="Listenumros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D6E8922"/>
    <w:lvl w:ilvl="0">
      <w:start w:val="1"/>
      <w:numFmt w:val="decimal"/>
      <w:pStyle w:val="Listenumros4"/>
      <w:lvlText w:val="%1."/>
      <w:lvlJc w:val="left"/>
      <w:pPr>
        <w:tabs>
          <w:tab w:val="num" w:pos="1209"/>
        </w:tabs>
        <w:ind w:left="1209" w:hanging="360"/>
      </w:pPr>
      <w:rPr>
        <w:rFonts w:cs="Times New Roman"/>
      </w:rPr>
    </w:lvl>
  </w:abstractNum>
  <w:abstractNum w:abstractNumId="2" w15:restartNumberingAfterBreak="0">
    <w:nsid w:val="FFFFFF7F"/>
    <w:multiLevelType w:val="singleLevel"/>
    <w:tmpl w:val="D24E8360"/>
    <w:lvl w:ilvl="0">
      <w:start w:val="1"/>
      <w:numFmt w:val="decimal"/>
      <w:pStyle w:val="Listenumros2"/>
      <w:lvlText w:val="%1."/>
      <w:lvlJc w:val="left"/>
      <w:pPr>
        <w:tabs>
          <w:tab w:val="num" w:pos="643"/>
        </w:tabs>
        <w:ind w:left="643" w:hanging="360"/>
      </w:pPr>
      <w:rPr>
        <w:rFonts w:cs="Times New Roman"/>
      </w:rPr>
    </w:lvl>
  </w:abstractNum>
  <w:abstractNum w:abstractNumId="3" w15:restartNumberingAfterBreak="0">
    <w:nsid w:val="FFFFFF80"/>
    <w:multiLevelType w:val="singleLevel"/>
    <w:tmpl w:val="FCC6D712"/>
    <w:lvl w:ilvl="0">
      <w:start w:val="1"/>
      <w:numFmt w:val="bullet"/>
      <w:pStyle w:val="Listepuces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BD7CDCD0"/>
    <w:lvl w:ilvl="0">
      <w:start w:val="1"/>
      <w:numFmt w:val="bullet"/>
      <w:pStyle w:val="Listepuces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302357A"/>
    <w:lvl w:ilvl="0">
      <w:start w:val="1"/>
      <w:numFmt w:val="bullet"/>
      <w:pStyle w:val="Listepuces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B0AE124"/>
    <w:lvl w:ilvl="0">
      <w:start w:val="1"/>
      <w:numFmt w:val="bullet"/>
      <w:pStyle w:val="Listepuces2"/>
      <w:lvlText w:val=""/>
      <w:lvlJc w:val="left"/>
      <w:pPr>
        <w:tabs>
          <w:tab w:val="num" w:pos="643"/>
        </w:tabs>
        <w:ind w:left="643" w:hanging="360"/>
      </w:pPr>
      <w:rPr>
        <w:rFonts w:ascii="Symbol" w:hAnsi="Symbol" w:hint="default"/>
      </w:rPr>
    </w:lvl>
  </w:abstractNum>
  <w:abstractNum w:abstractNumId="7" w15:restartNumberingAfterBreak="0">
    <w:nsid w:val="00000002"/>
    <w:multiLevelType w:val="singleLevel"/>
    <w:tmpl w:val="00000002"/>
    <w:name w:val="WW8Num2"/>
    <w:lvl w:ilvl="0">
      <w:start w:val="8"/>
      <w:numFmt w:val="bullet"/>
      <w:lvlText w:val="-"/>
      <w:lvlJc w:val="left"/>
      <w:pPr>
        <w:tabs>
          <w:tab w:val="num" w:pos="1040"/>
        </w:tabs>
        <w:ind w:left="1040" w:hanging="360"/>
      </w:pPr>
      <w:rPr>
        <w:rFonts w:ascii="Palatino Linotype" w:hAnsi="Palatino Linotype" w:cs="Times New Roman"/>
      </w:rPr>
    </w:lvl>
  </w:abstractNum>
  <w:abstractNum w:abstractNumId="8" w15:restartNumberingAfterBreak="0">
    <w:nsid w:val="00000003"/>
    <w:multiLevelType w:val="multilevel"/>
    <w:tmpl w:val="00000003"/>
    <w:name w:val="WW8Num3"/>
    <w:lvl w:ilvl="0">
      <w:start w:val="1"/>
      <w:numFmt w:val="upperRoman"/>
      <w:suff w:val="space"/>
      <w:lvlText w:val="%1."/>
      <w:lvlJc w:val="left"/>
      <w:pPr>
        <w:tabs>
          <w:tab w:val="num" w:pos="0"/>
        </w:tabs>
        <w:ind w:left="283" w:hanging="283"/>
      </w:pPr>
    </w:lvl>
    <w:lvl w:ilvl="1">
      <w:start w:val="2"/>
      <w:numFmt w:val="upperRoman"/>
      <w:suff w:val="space"/>
      <w:lvlText w:val="%2."/>
      <w:lvlJc w:val="left"/>
      <w:pPr>
        <w:tabs>
          <w:tab w:val="num" w:pos="0"/>
        </w:tabs>
        <w:ind w:left="567" w:hanging="283"/>
      </w:pPr>
    </w:lvl>
    <w:lvl w:ilvl="2">
      <w:start w:val="3"/>
      <w:numFmt w:val="upperRoman"/>
      <w:suff w:val="space"/>
      <w:lvlText w:val="%3."/>
      <w:lvlJc w:val="left"/>
      <w:pPr>
        <w:tabs>
          <w:tab w:val="num" w:pos="0"/>
        </w:tabs>
        <w:ind w:left="850" w:hanging="283"/>
      </w:pPr>
    </w:lvl>
    <w:lvl w:ilvl="3">
      <w:start w:val="4"/>
      <w:numFmt w:val="upperRoman"/>
      <w:suff w:val="space"/>
      <w:lvlText w:val="%4."/>
      <w:lvlJc w:val="left"/>
      <w:pPr>
        <w:tabs>
          <w:tab w:val="num" w:pos="0"/>
        </w:tabs>
        <w:ind w:left="1134" w:hanging="283"/>
      </w:pPr>
    </w:lvl>
    <w:lvl w:ilvl="4">
      <w:start w:val="5"/>
      <w:numFmt w:val="upperRoman"/>
      <w:suff w:val="space"/>
      <w:lvlText w:val="%5."/>
      <w:lvlJc w:val="left"/>
      <w:pPr>
        <w:tabs>
          <w:tab w:val="num" w:pos="0"/>
        </w:tabs>
        <w:ind w:left="1417" w:hanging="283"/>
      </w:pPr>
    </w:lvl>
    <w:lvl w:ilvl="5">
      <w:start w:val="6"/>
      <w:numFmt w:val="upperRoman"/>
      <w:suff w:val="space"/>
      <w:lvlText w:val="%6."/>
      <w:lvlJc w:val="left"/>
      <w:pPr>
        <w:tabs>
          <w:tab w:val="num" w:pos="0"/>
        </w:tabs>
        <w:ind w:left="1701" w:hanging="283"/>
      </w:pPr>
    </w:lvl>
    <w:lvl w:ilvl="6">
      <w:start w:val="7"/>
      <w:numFmt w:val="upperRoman"/>
      <w:suff w:val="space"/>
      <w:lvlText w:val="%7."/>
      <w:lvlJc w:val="left"/>
      <w:pPr>
        <w:tabs>
          <w:tab w:val="num" w:pos="0"/>
        </w:tabs>
        <w:ind w:left="1984" w:hanging="283"/>
      </w:pPr>
    </w:lvl>
    <w:lvl w:ilvl="7">
      <w:start w:val="8"/>
      <w:numFmt w:val="upperRoman"/>
      <w:suff w:val="space"/>
      <w:lvlText w:val="%8."/>
      <w:lvlJc w:val="left"/>
      <w:pPr>
        <w:tabs>
          <w:tab w:val="num" w:pos="0"/>
        </w:tabs>
        <w:ind w:left="2268" w:hanging="283"/>
      </w:pPr>
    </w:lvl>
    <w:lvl w:ilvl="8">
      <w:start w:val="9"/>
      <w:numFmt w:val="upperRoman"/>
      <w:suff w:val="space"/>
      <w:lvlText w:val="%9."/>
      <w:lvlJc w:val="left"/>
      <w:pPr>
        <w:tabs>
          <w:tab w:val="num" w:pos="0"/>
        </w:tabs>
        <w:ind w:left="2551" w:hanging="283"/>
      </w:pPr>
    </w:lvl>
  </w:abstractNum>
  <w:abstractNum w:abstractNumId="9" w15:restartNumberingAfterBreak="0">
    <w:nsid w:val="05106E01"/>
    <w:multiLevelType w:val="multilevel"/>
    <w:tmpl w:val="F3940F14"/>
    <w:styleLink w:val="Outline"/>
    <w:lvl w:ilvl="0">
      <w:start w:val="1"/>
      <w:numFmt w:val="none"/>
      <w:pStyle w:val="Titre31"/>
      <w:lvlText w:val="%1"/>
      <w:lvlJc w:val="left"/>
      <w:pPr>
        <w:ind w:left="0" w:firstLine="0"/>
      </w:pPr>
    </w:lvl>
    <w:lvl w:ilvl="1">
      <w:start w:val="1"/>
      <w:numFmt w:val="none"/>
      <w:lvlText w:val="%2"/>
      <w:lvlJc w:val="left"/>
      <w:pPr>
        <w:ind w:left="0" w:firstLine="0"/>
      </w:pPr>
    </w:lvl>
    <w:lvl w:ilvl="2">
      <w:start w:val="1"/>
      <w:numFmt w:val="none"/>
      <w:lvlText w:val="%3"/>
      <w:lvlJc w:val="left"/>
      <w:pPr>
        <w:ind w:left="0" w:firstLine="0"/>
      </w:pPr>
    </w:lvl>
    <w:lvl w:ilvl="3">
      <w:start w:val="1"/>
      <w:numFmt w:val="none"/>
      <w:lvlText w:val="%4"/>
      <w:lvlJc w:val="left"/>
      <w:pPr>
        <w:ind w:left="0" w:firstLine="0"/>
      </w:pPr>
    </w:lvl>
    <w:lvl w:ilvl="4">
      <w:start w:val="1"/>
      <w:numFmt w:val="none"/>
      <w:lvlText w:val="%5"/>
      <w:lvlJc w:val="left"/>
      <w:pPr>
        <w:ind w:left="0" w:firstLine="0"/>
      </w:pPr>
    </w:lvl>
    <w:lvl w:ilvl="5">
      <w:start w:val="1"/>
      <w:numFmt w:val="none"/>
      <w:lvlText w:val="%6"/>
      <w:lvlJc w:val="left"/>
      <w:pPr>
        <w:ind w:left="0" w:firstLine="0"/>
      </w:pPr>
    </w:lvl>
    <w:lvl w:ilvl="6">
      <w:start w:val="1"/>
      <w:numFmt w:val="none"/>
      <w:lvlText w:val="%7"/>
      <w:lvlJc w:val="left"/>
      <w:pPr>
        <w:ind w:left="0" w:firstLine="0"/>
      </w:pPr>
    </w:lvl>
    <w:lvl w:ilvl="7">
      <w:start w:val="1"/>
      <w:numFmt w:val="none"/>
      <w:lvlText w:val="%8"/>
      <w:lvlJc w:val="left"/>
      <w:pPr>
        <w:ind w:left="0" w:firstLine="0"/>
      </w:pPr>
    </w:lvl>
    <w:lvl w:ilvl="8">
      <w:start w:val="1"/>
      <w:numFmt w:val="none"/>
      <w:lvlText w:val="%9"/>
      <w:lvlJc w:val="left"/>
      <w:pPr>
        <w:ind w:left="0" w:firstLine="0"/>
      </w:pPr>
    </w:lvl>
  </w:abstractNum>
  <w:abstractNum w:abstractNumId="10" w15:restartNumberingAfterBreak="0">
    <w:nsid w:val="079A4424"/>
    <w:multiLevelType w:val="hybridMultilevel"/>
    <w:tmpl w:val="AB44DD5A"/>
    <w:lvl w:ilvl="0" w:tplc="28F8378E">
      <w:start w:val="1"/>
      <w:numFmt w:val="decimal"/>
      <w:lvlText w:val="%1."/>
      <w:lvlJc w:val="left"/>
      <w:pPr>
        <w:tabs>
          <w:tab w:val="num" w:pos="567"/>
        </w:tabs>
        <w:ind w:left="567" w:hanging="567"/>
      </w:pPr>
      <w:rPr>
        <w:rFonts w:ascii="Times New Roman" w:hAnsi="Times New Roman" w:cs="Times New Roman" w:hint="default"/>
        <w:b/>
        <w:i w:val="0"/>
        <w:caps w:val="0"/>
        <w:strike w:val="0"/>
        <w:dstrike w:val="0"/>
        <w:vanish w:val="0"/>
        <w:webHidden w:val="0"/>
        <w:color w:val="auto"/>
        <w:sz w:val="24"/>
        <w:u w:val="none"/>
        <w:effect w:val="none"/>
        <w:vertAlign w:val="baseline"/>
        <w:specVanish w:val="0"/>
      </w:rPr>
    </w:lvl>
    <w:lvl w:ilvl="1" w:tplc="5480214A">
      <w:start w:val="1"/>
      <w:numFmt w:val="bullet"/>
      <w:pStyle w:val="listapus1"/>
      <w:lvlText w:val=""/>
      <w:lvlJc w:val="left"/>
      <w:pPr>
        <w:tabs>
          <w:tab w:val="num" w:pos="1440"/>
        </w:tabs>
        <w:ind w:left="1440" w:hanging="360"/>
      </w:pPr>
      <w:rPr>
        <w:rFonts w:ascii="Symbol" w:hAnsi="Symbol" w:hint="default"/>
        <w:sz w:val="20"/>
      </w:rPr>
    </w:lvl>
    <w:lvl w:ilvl="2" w:tplc="040C001B">
      <w:start w:val="1"/>
      <w:numFmt w:val="decimal"/>
      <w:lvlText w:val="%3."/>
      <w:lvlJc w:val="left"/>
      <w:pPr>
        <w:tabs>
          <w:tab w:val="num" w:pos="2160"/>
        </w:tabs>
        <w:ind w:left="2160" w:hanging="360"/>
      </w:pPr>
      <w:rPr>
        <w:rFonts w:cs="Times New Roman"/>
      </w:rPr>
    </w:lvl>
    <w:lvl w:ilvl="3" w:tplc="F28462F2">
      <w:start w:val="1"/>
      <w:numFmt w:val="lowerLetter"/>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11" w15:restartNumberingAfterBreak="0">
    <w:nsid w:val="0EEF1C0C"/>
    <w:multiLevelType w:val="hybridMultilevel"/>
    <w:tmpl w:val="647A1002"/>
    <w:lvl w:ilvl="0" w:tplc="594AFDC2">
      <w:start w:val="1"/>
      <w:numFmt w:val="bullet"/>
      <w:pStyle w:val="listepuces20"/>
      <w:lvlText w:val=""/>
      <w:lvlJc w:val="left"/>
      <w:pPr>
        <w:ind w:left="786"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FC4F0B"/>
    <w:multiLevelType w:val="hybridMultilevel"/>
    <w:tmpl w:val="C280469C"/>
    <w:lvl w:ilvl="0" w:tplc="040C0005">
      <w:start w:val="1"/>
      <w:numFmt w:val="bullet"/>
      <w:lvlText w:val=""/>
      <w:lvlJc w:val="left"/>
      <w:pPr>
        <w:tabs>
          <w:tab w:val="num" w:pos="360"/>
        </w:tabs>
        <w:ind w:left="360" w:hanging="360"/>
      </w:pPr>
      <w:rPr>
        <w:rFonts w:ascii="Wingdings" w:hAnsi="Wingdings" w:hint="default"/>
        <w:color w:val="auto"/>
      </w:rPr>
    </w:lvl>
    <w:lvl w:ilvl="1" w:tplc="5F8CD246">
      <w:start w:val="14"/>
      <w:numFmt w:val="bullet"/>
      <w:pStyle w:val="listepucescitation"/>
      <w:lvlText w:val="-"/>
      <w:lvlJc w:val="left"/>
      <w:pPr>
        <w:tabs>
          <w:tab w:val="num" w:pos="2160"/>
        </w:tabs>
        <w:ind w:left="2160" w:hanging="360"/>
      </w:pPr>
      <w:rPr>
        <w:rFonts w:ascii="Times New Roman" w:eastAsia="Calibri" w:hAnsi="Times New Roman" w:cs="Times New Roman" w:hint="default"/>
      </w:rPr>
    </w:lvl>
    <w:lvl w:ilvl="2" w:tplc="C74AD6CA">
      <w:start w:val="14"/>
      <w:numFmt w:val="bullet"/>
      <w:lvlText w:val="-"/>
      <w:lvlJc w:val="left"/>
      <w:pPr>
        <w:tabs>
          <w:tab w:val="num" w:pos="2160"/>
        </w:tabs>
        <w:ind w:left="2160" w:hanging="360"/>
      </w:pPr>
      <w:rPr>
        <w:rFonts w:ascii="Times New Roman" w:eastAsia="Calibri" w:hAnsi="Times New Roman" w:cs="Times New Roman"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E75073"/>
    <w:multiLevelType w:val="multilevel"/>
    <w:tmpl w:val="0498B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6B1058"/>
    <w:multiLevelType w:val="hybridMultilevel"/>
    <w:tmpl w:val="4CC2FEB4"/>
    <w:lvl w:ilvl="0" w:tplc="FFFFFFFF">
      <w:numFmt w:val="bullet"/>
      <w:lvlText w:val="-"/>
      <w:lvlJc w:val="left"/>
      <w:pPr>
        <w:ind w:left="720" w:hanging="360"/>
      </w:pPr>
      <w:rPr>
        <w:rFonts w:ascii="Times New Roman" w:hAnsi="Times New Roman" w:cs="Times New Roman" w:hint="default"/>
        <w:sz w:val="28"/>
        <w:szCs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CB93BD9"/>
    <w:multiLevelType w:val="multilevel"/>
    <w:tmpl w:val="6E5E805A"/>
    <w:styleLink w:val="WW8Num4"/>
    <w:lvl w:ilvl="0">
      <w:start w:val="1"/>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43235DC4"/>
    <w:multiLevelType w:val="multilevel"/>
    <w:tmpl w:val="98DCCFD8"/>
    <w:styleLink w:val="WW8Num6"/>
    <w:lvl w:ilvl="0">
      <w:start w:val="1"/>
      <w:numFmt w:val="decimal"/>
      <w:lvlText w:val="%1."/>
      <w:lvlJc w:val="left"/>
      <w:pPr>
        <w:ind w:left="502" w:hanging="360"/>
      </w:pPr>
      <w:rPr>
        <w:rFonts w:ascii="Symbol" w:hAnsi="Symbol"/>
      </w:rPr>
    </w:lvl>
    <w:lvl w:ilvl="1">
      <w:start w:val="1"/>
      <w:numFmt w:val="decimal"/>
      <w:lvlText w:val="%2."/>
      <w:lvlJc w:val="left"/>
      <w:pPr>
        <w:ind w:left="862" w:hanging="360"/>
      </w:pPr>
    </w:lvl>
    <w:lvl w:ilvl="2">
      <w:start w:val="1"/>
      <w:numFmt w:val="decimal"/>
      <w:lvlText w:val="%3."/>
      <w:lvlJc w:val="left"/>
      <w:pPr>
        <w:ind w:left="1222" w:hanging="360"/>
      </w:pPr>
    </w:lvl>
    <w:lvl w:ilvl="3">
      <w:start w:val="1"/>
      <w:numFmt w:val="decimal"/>
      <w:lvlText w:val="%4."/>
      <w:lvlJc w:val="left"/>
      <w:pPr>
        <w:ind w:left="1582" w:hanging="360"/>
      </w:pPr>
    </w:lvl>
    <w:lvl w:ilvl="4">
      <w:start w:val="1"/>
      <w:numFmt w:val="decimal"/>
      <w:lvlText w:val="%5."/>
      <w:lvlJc w:val="left"/>
      <w:pPr>
        <w:ind w:left="1942" w:hanging="360"/>
      </w:pPr>
    </w:lvl>
    <w:lvl w:ilvl="5">
      <w:start w:val="1"/>
      <w:numFmt w:val="decimal"/>
      <w:lvlText w:val="%6."/>
      <w:lvlJc w:val="left"/>
      <w:pPr>
        <w:ind w:left="2302" w:hanging="360"/>
      </w:pPr>
    </w:lvl>
    <w:lvl w:ilvl="6">
      <w:start w:val="1"/>
      <w:numFmt w:val="decimal"/>
      <w:lvlText w:val="%7."/>
      <w:lvlJc w:val="left"/>
      <w:pPr>
        <w:ind w:left="2662" w:hanging="360"/>
      </w:pPr>
    </w:lvl>
    <w:lvl w:ilvl="7">
      <w:start w:val="1"/>
      <w:numFmt w:val="decimal"/>
      <w:lvlText w:val="%8."/>
      <w:lvlJc w:val="left"/>
      <w:pPr>
        <w:ind w:left="3022" w:hanging="360"/>
      </w:pPr>
    </w:lvl>
    <w:lvl w:ilvl="8">
      <w:start w:val="1"/>
      <w:numFmt w:val="decimal"/>
      <w:lvlText w:val="%9."/>
      <w:lvlJc w:val="left"/>
      <w:pPr>
        <w:ind w:left="3382" w:hanging="360"/>
      </w:pPr>
    </w:lvl>
  </w:abstractNum>
  <w:abstractNum w:abstractNumId="17" w15:restartNumberingAfterBreak="0">
    <w:nsid w:val="45B60923"/>
    <w:multiLevelType w:val="hybridMultilevel"/>
    <w:tmpl w:val="D2F805EE"/>
    <w:lvl w:ilvl="0" w:tplc="BFF4A87A">
      <w:start w:val="1"/>
      <w:numFmt w:val="bullet"/>
      <w:pStyle w:val="listepuces1esp12"/>
      <w:lvlText w:val=""/>
      <w:lvlJc w:val="left"/>
      <w:pPr>
        <w:ind w:left="720" w:hanging="360"/>
      </w:pPr>
      <w:rPr>
        <w:rFonts w:ascii="Wingdings 3" w:hAnsi="Wingdings 3"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DB60EA7"/>
    <w:multiLevelType w:val="hybridMultilevel"/>
    <w:tmpl w:val="4F02952E"/>
    <w:lvl w:ilvl="0" w:tplc="71F08B7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65AB236A"/>
    <w:multiLevelType w:val="multilevel"/>
    <w:tmpl w:val="19F090F8"/>
    <w:styleLink w:val="Listeencours1"/>
    <w:lvl w:ilvl="0">
      <w:start w:val="1"/>
      <w:numFmt w:val="decimal"/>
      <w:lvlText w:val="%1."/>
      <w:lvlJc w:val="left"/>
      <w:pPr>
        <w:tabs>
          <w:tab w:val="num" w:pos="0"/>
        </w:tabs>
        <w:ind w:left="0" w:firstLine="0"/>
      </w:pPr>
      <w:rPr>
        <w:rFonts w:ascii="Times New Roman" w:hAnsi="Times New Roman" w:cs="Times New Roman" w:hint="default"/>
        <w:b/>
        <w:i w:val="0"/>
        <w:sz w:val="32"/>
      </w:rPr>
    </w:lvl>
    <w:lvl w:ilvl="1">
      <w:start w:val="1"/>
      <w:numFmt w:val="decimal"/>
      <w:lvlText w:val="%1.%2."/>
      <w:lvlJc w:val="left"/>
      <w:pPr>
        <w:tabs>
          <w:tab w:val="num" w:pos="454"/>
        </w:tabs>
        <w:ind w:left="454" w:hanging="454"/>
      </w:pPr>
      <w:rPr>
        <w:rFonts w:ascii="Times New Roman" w:hAnsi="Times New Roman" w:cs="Times New Roman" w:hint="default"/>
        <w:b/>
        <w:i w:val="0"/>
        <w:sz w:val="28"/>
      </w:rPr>
    </w:lvl>
    <w:lvl w:ilvl="2">
      <w:start w:val="1"/>
      <w:numFmt w:val="decimal"/>
      <w:lvlText w:val="%1.%2.%3."/>
      <w:lvlJc w:val="left"/>
      <w:pPr>
        <w:tabs>
          <w:tab w:val="num" w:pos="0"/>
        </w:tabs>
        <w:ind w:left="0" w:firstLine="0"/>
      </w:pPr>
      <w:rPr>
        <w:rFonts w:ascii="Times New Roman" w:hAnsi="Times New Roman" w:cs="Times New Roman" w:hint="default"/>
        <w:b/>
        <w:i w:val="0"/>
        <w:sz w:val="28"/>
      </w:rPr>
    </w:lvl>
    <w:lvl w:ilvl="3">
      <w:start w:val="1"/>
      <w:numFmt w:val="decimal"/>
      <w:lvlText w:val="%1.%2.%3.%4."/>
      <w:lvlJc w:val="left"/>
      <w:pPr>
        <w:tabs>
          <w:tab w:val="num" w:pos="0"/>
        </w:tabs>
        <w:ind w:left="0" w:firstLine="0"/>
      </w:pPr>
      <w:rPr>
        <w:rFonts w:ascii="Times New Roman" w:hAnsi="Times New Roman" w:cs="Times New Roman" w:hint="default"/>
        <w:b/>
        <w:i w:val="0"/>
        <w:sz w:val="24"/>
      </w:rPr>
    </w:lvl>
    <w:lvl w:ilvl="4">
      <w:start w:val="1"/>
      <w:numFmt w:val="decimal"/>
      <w:lvlText w:val="%1.%2.%3.%4.%5."/>
      <w:lvlJc w:val="left"/>
      <w:pPr>
        <w:tabs>
          <w:tab w:val="num" w:pos="1080"/>
        </w:tabs>
        <w:ind w:left="0" w:firstLine="0"/>
      </w:pPr>
      <w:rPr>
        <w:rFonts w:cs="Times New Roman"/>
      </w:rPr>
    </w:lvl>
    <w:lvl w:ilvl="5">
      <w:start w:val="1"/>
      <w:numFmt w:val="decimal"/>
      <w:lvlText w:val="%1.%2.%3.%4..%5.%6"/>
      <w:lvlJc w:val="left"/>
      <w:pPr>
        <w:tabs>
          <w:tab w:val="num" w:pos="0"/>
        </w:tabs>
        <w:ind w:left="0" w:firstLine="0"/>
      </w:pPr>
      <w:rPr>
        <w:rFonts w:cs="Times New Roman"/>
      </w:rPr>
    </w:lvl>
    <w:lvl w:ilvl="6">
      <w:start w:val="1"/>
      <w:numFmt w:val="decimal"/>
      <w:lvlText w:val="%1.%2.%3.%4..%5.%6.%7"/>
      <w:lvlJc w:val="left"/>
      <w:pPr>
        <w:tabs>
          <w:tab w:val="num" w:pos="0"/>
        </w:tabs>
        <w:ind w:left="0" w:firstLine="0"/>
      </w:pPr>
      <w:rPr>
        <w:rFonts w:cs="Times New Roman"/>
      </w:rPr>
    </w:lvl>
    <w:lvl w:ilvl="7">
      <w:start w:val="1"/>
      <w:numFmt w:val="decimal"/>
      <w:lvlText w:val="%1.%2.%3.%4..%5.%6.%7.%8"/>
      <w:lvlJc w:val="left"/>
      <w:pPr>
        <w:tabs>
          <w:tab w:val="num" w:pos="0"/>
        </w:tabs>
        <w:ind w:left="0" w:firstLine="0"/>
      </w:pPr>
      <w:rPr>
        <w:rFonts w:cs="Times New Roman"/>
      </w:rPr>
    </w:lvl>
    <w:lvl w:ilvl="8">
      <w:start w:val="1"/>
      <w:numFmt w:val="decimal"/>
      <w:lvlText w:val="%1.%2.%3.%4..%5.%6.%7.%8.%9"/>
      <w:lvlJc w:val="left"/>
      <w:pPr>
        <w:tabs>
          <w:tab w:val="num" w:pos="0"/>
        </w:tabs>
        <w:ind w:left="0" w:firstLine="0"/>
      </w:pPr>
      <w:rPr>
        <w:rFonts w:cs="Times New Roman"/>
      </w:rPr>
    </w:lvl>
  </w:abstractNum>
  <w:abstractNum w:abstractNumId="20" w15:restartNumberingAfterBreak="0">
    <w:nsid w:val="6B3F251E"/>
    <w:multiLevelType w:val="hybridMultilevel"/>
    <w:tmpl w:val="43601500"/>
    <w:lvl w:ilvl="0" w:tplc="2C307546">
      <w:start w:val="1"/>
      <w:numFmt w:val="bullet"/>
      <w:pStyle w:val="puce1"/>
      <w:lvlText w:val=""/>
      <w:lvlJc w:val="left"/>
      <w:pPr>
        <w:tabs>
          <w:tab w:val="num" w:pos="1105"/>
        </w:tabs>
        <w:ind w:left="1105" w:hanging="397"/>
      </w:pPr>
      <w:rPr>
        <w:rFonts w:ascii="Symbol" w:hAnsi="Symbol" w:hint="default"/>
        <w:sz w:val="16"/>
      </w:rPr>
    </w:lvl>
    <w:lvl w:ilvl="1" w:tplc="040C0003">
      <w:start w:val="1"/>
      <w:numFmt w:val="decimal"/>
      <w:lvlText w:val="%2."/>
      <w:lvlJc w:val="left"/>
      <w:pPr>
        <w:tabs>
          <w:tab w:val="num" w:pos="2493"/>
        </w:tabs>
        <w:ind w:left="2493" w:hanging="705"/>
      </w:pPr>
      <w:rPr>
        <w:rFonts w:cs="Times New Roman"/>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1" w15:restartNumberingAfterBreak="0">
    <w:nsid w:val="6F583F91"/>
    <w:multiLevelType w:val="hybridMultilevel"/>
    <w:tmpl w:val="D6064D94"/>
    <w:lvl w:ilvl="0" w:tplc="A0265914">
      <w:start w:val="1"/>
      <w:numFmt w:val="bullet"/>
      <w:pStyle w:val="listepucesb"/>
      <w:lvlText w:val=""/>
      <w:lvlJc w:val="left"/>
      <w:pPr>
        <w:ind w:left="2509" w:hanging="360"/>
      </w:pPr>
      <w:rPr>
        <w:rFonts w:ascii="Wingdings 2" w:hAnsi="Wingdings 2" w:hint="default"/>
      </w:rPr>
    </w:lvl>
    <w:lvl w:ilvl="1" w:tplc="040C0003" w:tentative="1">
      <w:start w:val="1"/>
      <w:numFmt w:val="bullet"/>
      <w:lvlText w:val="o"/>
      <w:lvlJc w:val="left"/>
      <w:pPr>
        <w:ind w:left="3229" w:hanging="360"/>
      </w:pPr>
      <w:rPr>
        <w:rFonts w:ascii="Courier New" w:hAnsi="Courier New" w:cs="Courier New" w:hint="default"/>
      </w:rPr>
    </w:lvl>
    <w:lvl w:ilvl="2" w:tplc="040C0005" w:tentative="1">
      <w:start w:val="1"/>
      <w:numFmt w:val="bullet"/>
      <w:lvlText w:val=""/>
      <w:lvlJc w:val="left"/>
      <w:pPr>
        <w:ind w:left="3949" w:hanging="360"/>
      </w:pPr>
      <w:rPr>
        <w:rFonts w:ascii="Wingdings" w:hAnsi="Wingdings" w:hint="default"/>
      </w:rPr>
    </w:lvl>
    <w:lvl w:ilvl="3" w:tplc="040C0001" w:tentative="1">
      <w:start w:val="1"/>
      <w:numFmt w:val="bullet"/>
      <w:lvlText w:val=""/>
      <w:lvlJc w:val="left"/>
      <w:pPr>
        <w:ind w:left="4669" w:hanging="360"/>
      </w:pPr>
      <w:rPr>
        <w:rFonts w:ascii="Symbol" w:hAnsi="Symbol" w:hint="default"/>
      </w:rPr>
    </w:lvl>
    <w:lvl w:ilvl="4" w:tplc="040C0003" w:tentative="1">
      <w:start w:val="1"/>
      <w:numFmt w:val="bullet"/>
      <w:lvlText w:val="o"/>
      <w:lvlJc w:val="left"/>
      <w:pPr>
        <w:ind w:left="5389" w:hanging="360"/>
      </w:pPr>
      <w:rPr>
        <w:rFonts w:ascii="Courier New" w:hAnsi="Courier New" w:cs="Courier New" w:hint="default"/>
      </w:rPr>
    </w:lvl>
    <w:lvl w:ilvl="5" w:tplc="040C0005" w:tentative="1">
      <w:start w:val="1"/>
      <w:numFmt w:val="bullet"/>
      <w:lvlText w:val=""/>
      <w:lvlJc w:val="left"/>
      <w:pPr>
        <w:ind w:left="6109" w:hanging="360"/>
      </w:pPr>
      <w:rPr>
        <w:rFonts w:ascii="Wingdings" w:hAnsi="Wingdings" w:hint="default"/>
      </w:rPr>
    </w:lvl>
    <w:lvl w:ilvl="6" w:tplc="040C0001" w:tentative="1">
      <w:start w:val="1"/>
      <w:numFmt w:val="bullet"/>
      <w:lvlText w:val=""/>
      <w:lvlJc w:val="left"/>
      <w:pPr>
        <w:ind w:left="6829" w:hanging="360"/>
      </w:pPr>
      <w:rPr>
        <w:rFonts w:ascii="Symbol" w:hAnsi="Symbol" w:hint="default"/>
      </w:rPr>
    </w:lvl>
    <w:lvl w:ilvl="7" w:tplc="040C0003" w:tentative="1">
      <w:start w:val="1"/>
      <w:numFmt w:val="bullet"/>
      <w:lvlText w:val="o"/>
      <w:lvlJc w:val="left"/>
      <w:pPr>
        <w:ind w:left="7549" w:hanging="360"/>
      </w:pPr>
      <w:rPr>
        <w:rFonts w:ascii="Courier New" w:hAnsi="Courier New" w:cs="Courier New" w:hint="default"/>
      </w:rPr>
    </w:lvl>
    <w:lvl w:ilvl="8" w:tplc="040C0005" w:tentative="1">
      <w:start w:val="1"/>
      <w:numFmt w:val="bullet"/>
      <w:lvlText w:val=""/>
      <w:lvlJc w:val="left"/>
      <w:pPr>
        <w:ind w:left="8269" w:hanging="360"/>
      </w:pPr>
      <w:rPr>
        <w:rFonts w:ascii="Wingdings" w:hAnsi="Wingdings" w:hint="default"/>
      </w:rPr>
    </w:lvl>
  </w:abstractNum>
  <w:abstractNum w:abstractNumId="22" w15:restartNumberingAfterBreak="0">
    <w:nsid w:val="70A94EDC"/>
    <w:multiLevelType w:val="hybridMultilevel"/>
    <w:tmpl w:val="37123424"/>
    <w:lvl w:ilvl="0" w:tplc="C6BCA496">
      <w:start w:val="1"/>
      <w:numFmt w:val="bullet"/>
      <w:pStyle w:val="Listepuces"/>
      <w:lvlText w:val=""/>
      <w:lvlJc w:val="left"/>
      <w:pPr>
        <w:tabs>
          <w:tab w:val="num" w:pos="360"/>
        </w:tabs>
        <w:ind w:left="360" w:hanging="360"/>
      </w:pPr>
      <w:rPr>
        <w:rFonts w:ascii="Symbol" w:hAnsi="Symbol" w:hint="default"/>
        <w:sz w:val="16"/>
      </w:rPr>
    </w:lvl>
    <w:lvl w:ilvl="1" w:tplc="C6542FDC">
      <w:start w:val="1"/>
      <w:numFmt w:val="bullet"/>
      <w:pStyle w:val="Style3"/>
      <w:lvlText w:val="-"/>
      <w:lvlJc w:val="left"/>
      <w:pPr>
        <w:tabs>
          <w:tab w:val="num" w:pos="1440"/>
        </w:tabs>
        <w:ind w:left="1440" w:hanging="360"/>
      </w:pPr>
      <w:rPr>
        <w:rFonts w:ascii="SimSun" w:eastAsia="SimSun" w:hAnsi="SimSun" w:hint="eastAsia"/>
      </w:rPr>
    </w:lvl>
    <w:lvl w:ilvl="2" w:tplc="040C0005">
      <w:start w:val="1"/>
      <w:numFmt w:val="decimal"/>
      <w:lvlText w:val="%3."/>
      <w:lvlJc w:val="left"/>
      <w:pPr>
        <w:tabs>
          <w:tab w:val="num" w:pos="2160"/>
        </w:tabs>
        <w:ind w:left="2160" w:hanging="360"/>
      </w:pPr>
      <w:rPr>
        <w:rFonts w:cs="Times New Roman"/>
      </w:rPr>
    </w:lvl>
    <w:lvl w:ilvl="3" w:tplc="040C0001">
      <w:start w:val="1"/>
      <w:numFmt w:val="decimal"/>
      <w:lvlText w:val="%4."/>
      <w:lvlJc w:val="left"/>
      <w:pPr>
        <w:tabs>
          <w:tab w:val="num" w:pos="2880"/>
        </w:tabs>
        <w:ind w:left="2880" w:hanging="360"/>
      </w:pPr>
      <w:rPr>
        <w:rFonts w:cs="Times New Roman"/>
      </w:rPr>
    </w:lvl>
    <w:lvl w:ilvl="4" w:tplc="040C0003">
      <w:start w:val="1"/>
      <w:numFmt w:val="decimal"/>
      <w:lvlText w:val="%5."/>
      <w:lvlJc w:val="left"/>
      <w:pPr>
        <w:tabs>
          <w:tab w:val="num" w:pos="3600"/>
        </w:tabs>
        <w:ind w:left="3600" w:hanging="360"/>
      </w:pPr>
      <w:rPr>
        <w:rFonts w:cs="Times New Roman"/>
      </w:rPr>
    </w:lvl>
    <w:lvl w:ilvl="5" w:tplc="040C0005">
      <w:start w:val="1"/>
      <w:numFmt w:val="decimal"/>
      <w:lvlText w:val="%6."/>
      <w:lvlJc w:val="left"/>
      <w:pPr>
        <w:tabs>
          <w:tab w:val="num" w:pos="4320"/>
        </w:tabs>
        <w:ind w:left="4320" w:hanging="360"/>
      </w:pPr>
      <w:rPr>
        <w:rFonts w:cs="Times New Roman"/>
      </w:rPr>
    </w:lvl>
    <w:lvl w:ilvl="6" w:tplc="040C0001">
      <w:start w:val="1"/>
      <w:numFmt w:val="decimal"/>
      <w:lvlText w:val="%7."/>
      <w:lvlJc w:val="left"/>
      <w:pPr>
        <w:tabs>
          <w:tab w:val="num" w:pos="5040"/>
        </w:tabs>
        <w:ind w:left="5040" w:hanging="360"/>
      </w:pPr>
      <w:rPr>
        <w:rFonts w:cs="Times New Roman"/>
      </w:rPr>
    </w:lvl>
    <w:lvl w:ilvl="7" w:tplc="040C0003">
      <w:start w:val="1"/>
      <w:numFmt w:val="decimal"/>
      <w:lvlText w:val="%8."/>
      <w:lvlJc w:val="left"/>
      <w:pPr>
        <w:tabs>
          <w:tab w:val="num" w:pos="5760"/>
        </w:tabs>
        <w:ind w:left="5760" w:hanging="360"/>
      </w:pPr>
      <w:rPr>
        <w:rFonts w:cs="Times New Roman"/>
      </w:rPr>
    </w:lvl>
    <w:lvl w:ilvl="8" w:tplc="040C0005">
      <w:start w:val="1"/>
      <w:numFmt w:val="decimal"/>
      <w:lvlText w:val="%9."/>
      <w:lvlJc w:val="left"/>
      <w:pPr>
        <w:tabs>
          <w:tab w:val="num" w:pos="6480"/>
        </w:tabs>
        <w:ind w:left="6480" w:hanging="360"/>
      </w:pPr>
      <w:rPr>
        <w:rFonts w:cs="Times New Roman"/>
      </w:rPr>
    </w:lvl>
  </w:abstractNum>
  <w:abstractNum w:abstractNumId="23" w15:restartNumberingAfterBreak="0">
    <w:nsid w:val="71CC683F"/>
    <w:multiLevelType w:val="multilevel"/>
    <w:tmpl w:val="4D74BB60"/>
    <w:styleLink w:val="WW8Num411"/>
    <w:lvl w:ilvl="0">
      <w:start w:val="1"/>
      <w:numFmt w:val="decimal"/>
      <w:pStyle w:val="Titre1"/>
      <w:isLgl/>
      <w:lvlText w:val="%1."/>
      <w:lvlJc w:val="left"/>
      <w:pPr>
        <w:tabs>
          <w:tab w:val="num" w:pos="501"/>
        </w:tabs>
        <w:ind w:left="501" w:hanging="360"/>
      </w:pPr>
      <w:rPr>
        <w:rFonts w:cs="Times New Roman" w:hint="default"/>
        <w:b/>
        <w:i w:val="0"/>
        <w:color w:val="auto"/>
        <w:sz w:val="32"/>
        <w:lang w:val="fr-FR"/>
      </w:rPr>
    </w:lvl>
    <w:lvl w:ilvl="1">
      <w:start w:val="1"/>
      <w:numFmt w:val="decimal"/>
      <w:pStyle w:val="Titre2"/>
      <w:isLgl/>
      <w:lvlText w:val="%1.%2."/>
      <w:lvlJc w:val="left"/>
      <w:pPr>
        <w:tabs>
          <w:tab w:val="num" w:pos="1276"/>
        </w:tabs>
        <w:ind w:left="1276" w:hanging="1134"/>
      </w:pPr>
      <w:rPr>
        <w:rFonts w:ascii="Times New Roman" w:hAnsi="Times New Roman" w:cs="Times New Roman" w:hint="default"/>
        <w:b/>
        <w:i w:val="0"/>
        <w:caps w:val="0"/>
        <w:strike w:val="0"/>
        <w:dstrike w:val="0"/>
        <w:vanish w:val="0"/>
        <w:sz w:val="24"/>
        <w:u w:val="none"/>
        <w:effect w:val="none"/>
        <w:vertAlign w:val="baseline"/>
      </w:rPr>
    </w:lvl>
    <w:lvl w:ilvl="2">
      <w:start w:val="1"/>
      <w:numFmt w:val="decimal"/>
      <w:pStyle w:val="Titre3"/>
      <w:lvlText w:val="%1.%2.%3."/>
      <w:lvlJc w:val="left"/>
      <w:pPr>
        <w:tabs>
          <w:tab w:val="num" w:pos="1571"/>
        </w:tabs>
        <w:ind w:left="1355" w:hanging="504"/>
      </w:pPr>
      <w:rPr>
        <w:rFonts w:ascii="Times New Roman" w:hAnsi="Times New Roman" w:cs="Times New Roman" w:hint="default"/>
        <w:b/>
        <w:i w:val="0"/>
        <w:caps w:val="0"/>
        <w:strike w:val="0"/>
        <w:dstrike w:val="0"/>
        <w:vanish w:val="0"/>
        <w:sz w:val="24"/>
        <w:u w:val="none"/>
        <w:effect w:val="none"/>
        <w:vertAlign w:val="baseline"/>
      </w:rPr>
    </w:lvl>
    <w:lvl w:ilvl="3">
      <w:start w:val="1"/>
      <w:numFmt w:val="decimal"/>
      <w:isLgl/>
      <w:lvlText w:val="%1.%2.%3.%4."/>
      <w:lvlJc w:val="left"/>
      <w:pPr>
        <w:tabs>
          <w:tab w:val="num" w:pos="1440"/>
        </w:tabs>
        <w:ind w:left="1008" w:hanging="648"/>
      </w:pPr>
      <w:rPr>
        <w:rFonts w:cs="Times New Roman" w:hint="default"/>
        <w:b/>
        <w:i w:val="0"/>
        <w:sz w:val="24"/>
      </w:rPr>
    </w:lvl>
    <w:lvl w:ilvl="4">
      <w:start w:val="1"/>
      <w:numFmt w:val="decimal"/>
      <w:lvlText w:val="%1.%2.%3.%4.%5."/>
      <w:lvlJc w:val="left"/>
      <w:pPr>
        <w:tabs>
          <w:tab w:val="num" w:pos="1800"/>
        </w:tabs>
        <w:ind w:left="1512" w:hanging="792"/>
      </w:pPr>
      <w:rPr>
        <w:rFonts w:cs="Times New Roman" w:hint="default"/>
      </w:rPr>
    </w:lvl>
    <w:lvl w:ilvl="5">
      <w:start w:val="1"/>
      <w:numFmt w:val="decimal"/>
      <w:lvlText w:val="%1.%2.%3.%4.%5.%6."/>
      <w:lvlJc w:val="left"/>
      <w:pPr>
        <w:tabs>
          <w:tab w:val="num" w:pos="216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24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24" w15:restartNumberingAfterBreak="0">
    <w:nsid w:val="783F5ADA"/>
    <w:multiLevelType w:val="hybridMultilevel"/>
    <w:tmpl w:val="C466053E"/>
    <w:lvl w:ilvl="0" w:tplc="853E181E">
      <w:start w:val="1"/>
      <w:numFmt w:val="bullet"/>
      <w:pStyle w:val="Titre5"/>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A60175E"/>
    <w:multiLevelType w:val="hybridMultilevel"/>
    <w:tmpl w:val="5D5AE21A"/>
    <w:lvl w:ilvl="0" w:tplc="466E40D8">
      <w:start w:val="1"/>
      <w:numFmt w:val="decimal"/>
      <w:pStyle w:val="Style2"/>
      <w:lvlText w:val="%1."/>
      <w:lvlJc w:val="left"/>
      <w:pPr>
        <w:ind w:left="0" w:hanging="360"/>
      </w:pPr>
    </w:lvl>
    <w:lvl w:ilvl="1" w:tplc="040C0019" w:tentative="1">
      <w:start w:val="1"/>
      <w:numFmt w:val="lowerLetter"/>
      <w:lvlText w:val="%2."/>
      <w:lvlJc w:val="left"/>
      <w:pPr>
        <w:ind w:left="720" w:hanging="360"/>
      </w:pPr>
    </w:lvl>
    <w:lvl w:ilvl="2" w:tplc="040C001B" w:tentative="1">
      <w:start w:val="1"/>
      <w:numFmt w:val="lowerRoman"/>
      <w:lvlText w:val="%3."/>
      <w:lvlJc w:val="right"/>
      <w:pPr>
        <w:ind w:left="1440" w:hanging="180"/>
      </w:pPr>
    </w:lvl>
    <w:lvl w:ilvl="3" w:tplc="040C000F" w:tentative="1">
      <w:start w:val="1"/>
      <w:numFmt w:val="decimal"/>
      <w:lvlText w:val="%4."/>
      <w:lvlJc w:val="left"/>
      <w:pPr>
        <w:ind w:left="2160" w:hanging="360"/>
      </w:pPr>
    </w:lvl>
    <w:lvl w:ilvl="4" w:tplc="040C0019" w:tentative="1">
      <w:start w:val="1"/>
      <w:numFmt w:val="lowerLetter"/>
      <w:lvlText w:val="%5."/>
      <w:lvlJc w:val="left"/>
      <w:pPr>
        <w:ind w:left="2880" w:hanging="360"/>
      </w:pPr>
    </w:lvl>
    <w:lvl w:ilvl="5" w:tplc="040C001B" w:tentative="1">
      <w:start w:val="1"/>
      <w:numFmt w:val="lowerRoman"/>
      <w:lvlText w:val="%6."/>
      <w:lvlJc w:val="right"/>
      <w:pPr>
        <w:ind w:left="3600" w:hanging="180"/>
      </w:pPr>
    </w:lvl>
    <w:lvl w:ilvl="6" w:tplc="040C000F" w:tentative="1">
      <w:start w:val="1"/>
      <w:numFmt w:val="decimal"/>
      <w:lvlText w:val="%7."/>
      <w:lvlJc w:val="left"/>
      <w:pPr>
        <w:ind w:left="4320" w:hanging="360"/>
      </w:pPr>
    </w:lvl>
    <w:lvl w:ilvl="7" w:tplc="040C0019" w:tentative="1">
      <w:start w:val="1"/>
      <w:numFmt w:val="lowerLetter"/>
      <w:lvlText w:val="%8."/>
      <w:lvlJc w:val="left"/>
      <w:pPr>
        <w:ind w:left="5040" w:hanging="360"/>
      </w:pPr>
    </w:lvl>
    <w:lvl w:ilvl="8" w:tplc="040C001B" w:tentative="1">
      <w:start w:val="1"/>
      <w:numFmt w:val="lowerRoman"/>
      <w:lvlText w:val="%9."/>
      <w:lvlJc w:val="right"/>
      <w:pPr>
        <w:ind w:left="5760" w:hanging="180"/>
      </w:pPr>
    </w:lvl>
  </w:abstractNum>
  <w:num w:numId="1">
    <w:abstractNumId w:val="22"/>
  </w:num>
  <w:num w:numId="2">
    <w:abstractNumId w:val="6"/>
  </w:num>
  <w:num w:numId="3">
    <w:abstractNumId w:val="5"/>
  </w:num>
  <w:num w:numId="4">
    <w:abstractNumId w:val="4"/>
  </w:num>
  <w:num w:numId="5">
    <w:abstractNumId w:val="3"/>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6"/>
  </w:num>
  <w:num w:numId="13">
    <w:abstractNumId w:val="15"/>
  </w:num>
  <w:num w:numId="14">
    <w:abstractNumId w:val="19"/>
  </w:num>
  <w:num w:numId="15">
    <w:abstractNumId w:val="23"/>
    <w:lvlOverride w:ilvl="0">
      <w:lvl w:ilvl="0">
        <w:start w:val="1"/>
        <w:numFmt w:val="decimal"/>
        <w:pStyle w:val="Titre1"/>
        <w:lvlText w:val="%1."/>
        <w:lvlJc w:val="left"/>
        <w:pPr>
          <w:ind w:left="360" w:hanging="360"/>
        </w:pPr>
      </w:lvl>
    </w:lvlOverride>
    <w:lvlOverride w:ilvl="1">
      <w:lvl w:ilvl="1">
        <w:start w:val="1"/>
        <w:numFmt w:val="decimal"/>
        <w:pStyle w:val="Titre2"/>
        <w:lvlText w:val="%1.%2."/>
        <w:lvlJc w:val="left"/>
        <w:pPr>
          <w:ind w:left="858" w:hanging="432"/>
        </w:pPr>
      </w:lvl>
    </w:lvlOverride>
    <w:lvlOverride w:ilvl="2">
      <w:lvl w:ilvl="2">
        <w:start w:val="1"/>
        <w:numFmt w:val="decimal"/>
        <w:pStyle w:val="Titre3"/>
        <w:lvlText w:val="%1.%2.%3."/>
        <w:lvlJc w:val="left"/>
        <w:pPr>
          <w:ind w:left="6033"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11"/>
  </w:num>
  <w:num w:numId="18">
    <w:abstractNumId w:val="12"/>
  </w:num>
  <w:num w:numId="19">
    <w:abstractNumId w:val="23"/>
  </w:num>
  <w:num w:numId="20">
    <w:abstractNumId w:val="24"/>
  </w:num>
  <w:num w:numId="21">
    <w:abstractNumId w:val="17"/>
  </w:num>
  <w:num w:numId="22">
    <w:abstractNumId w:val="21"/>
  </w:num>
  <w:num w:numId="23">
    <w:abstractNumId w:val="14"/>
  </w:num>
  <w:num w:numId="24">
    <w:abstractNumId w:val="18"/>
  </w:num>
  <w:num w:numId="25">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0"/>
  <w:defaultTabStop w:val="709"/>
  <w:hyphenationZone w:val="170"/>
  <w:drawingGridHorizontalSpacing w:val="12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913"/>
    <w:rsid w:val="00000468"/>
    <w:rsid w:val="000006A8"/>
    <w:rsid w:val="0000075C"/>
    <w:rsid w:val="00000849"/>
    <w:rsid w:val="00000EFE"/>
    <w:rsid w:val="000019A6"/>
    <w:rsid w:val="000026AA"/>
    <w:rsid w:val="000028C1"/>
    <w:rsid w:val="00002A3D"/>
    <w:rsid w:val="00002D8C"/>
    <w:rsid w:val="00003739"/>
    <w:rsid w:val="000039A9"/>
    <w:rsid w:val="00004A1A"/>
    <w:rsid w:val="00004C90"/>
    <w:rsid w:val="00004D8B"/>
    <w:rsid w:val="00004E91"/>
    <w:rsid w:val="00005C8C"/>
    <w:rsid w:val="000061AA"/>
    <w:rsid w:val="00006B8B"/>
    <w:rsid w:val="00006BD8"/>
    <w:rsid w:val="00007098"/>
    <w:rsid w:val="0000719A"/>
    <w:rsid w:val="000071AF"/>
    <w:rsid w:val="00007725"/>
    <w:rsid w:val="00007A86"/>
    <w:rsid w:val="0001012C"/>
    <w:rsid w:val="00010EE7"/>
    <w:rsid w:val="00011151"/>
    <w:rsid w:val="0001122B"/>
    <w:rsid w:val="00011517"/>
    <w:rsid w:val="0001248D"/>
    <w:rsid w:val="00013038"/>
    <w:rsid w:val="00013358"/>
    <w:rsid w:val="0001408C"/>
    <w:rsid w:val="00014AEE"/>
    <w:rsid w:val="00014DE4"/>
    <w:rsid w:val="00014ED2"/>
    <w:rsid w:val="0001578D"/>
    <w:rsid w:val="000158BE"/>
    <w:rsid w:val="00015D18"/>
    <w:rsid w:val="000160C8"/>
    <w:rsid w:val="0001721C"/>
    <w:rsid w:val="00017315"/>
    <w:rsid w:val="00017A7B"/>
    <w:rsid w:val="00020C5C"/>
    <w:rsid w:val="00021374"/>
    <w:rsid w:val="000214E0"/>
    <w:rsid w:val="00021948"/>
    <w:rsid w:val="00022F42"/>
    <w:rsid w:val="000231AE"/>
    <w:rsid w:val="0002384B"/>
    <w:rsid w:val="00023B75"/>
    <w:rsid w:val="00023DD8"/>
    <w:rsid w:val="00023FE9"/>
    <w:rsid w:val="0002434D"/>
    <w:rsid w:val="0002491F"/>
    <w:rsid w:val="00024A16"/>
    <w:rsid w:val="00025947"/>
    <w:rsid w:val="00025B52"/>
    <w:rsid w:val="000263C0"/>
    <w:rsid w:val="00027236"/>
    <w:rsid w:val="00027BF4"/>
    <w:rsid w:val="00030546"/>
    <w:rsid w:val="0003132D"/>
    <w:rsid w:val="00031FF7"/>
    <w:rsid w:val="00032220"/>
    <w:rsid w:val="00032846"/>
    <w:rsid w:val="000328C0"/>
    <w:rsid w:val="000335C3"/>
    <w:rsid w:val="000338DC"/>
    <w:rsid w:val="0003410A"/>
    <w:rsid w:val="0003500B"/>
    <w:rsid w:val="000350BF"/>
    <w:rsid w:val="00035204"/>
    <w:rsid w:val="00035A18"/>
    <w:rsid w:val="000360C3"/>
    <w:rsid w:val="000360D1"/>
    <w:rsid w:val="000369A7"/>
    <w:rsid w:val="00036E01"/>
    <w:rsid w:val="000377E2"/>
    <w:rsid w:val="00040506"/>
    <w:rsid w:val="00040E45"/>
    <w:rsid w:val="00040F93"/>
    <w:rsid w:val="0004120B"/>
    <w:rsid w:val="00041CEE"/>
    <w:rsid w:val="00041DF4"/>
    <w:rsid w:val="00042134"/>
    <w:rsid w:val="00042580"/>
    <w:rsid w:val="0004266F"/>
    <w:rsid w:val="00042DFF"/>
    <w:rsid w:val="00042FC0"/>
    <w:rsid w:val="00043421"/>
    <w:rsid w:val="0004423F"/>
    <w:rsid w:val="0004425E"/>
    <w:rsid w:val="00044809"/>
    <w:rsid w:val="00046B5F"/>
    <w:rsid w:val="00046FDD"/>
    <w:rsid w:val="0005009A"/>
    <w:rsid w:val="000513DD"/>
    <w:rsid w:val="000518F6"/>
    <w:rsid w:val="00051BEB"/>
    <w:rsid w:val="00051C5D"/>
    <w:rsid w:val="00051F7A"/>
    <w:rsid w:val="00051F7D"/>
    <w:rsid w:val="00052BC3"/>
    <w:rsid w:val="000544E5"/>
    <w:rsid w:val="00054761"/>
    <w:rsid w:val="000547BB"/>
    <w:rsid w:val="00055701"/>
    <w:rsid w:val="00055806"/>
    <w:rsid w:val="00055AE3"/>
    <w:rsid w:val="00055C7A"/>
    <w:rsid w:val="00055D00"/>
    <w:rsid w:val="000567FA"/>
    <w:rsid w:val="00056B2A"/>
    <w:rsid w:val="00056DFF"/>
    <w:rsid w:val="00056ED2"/>
    <w:rsid w:val="00057268"/>
    <w:rsid w:val="000573D0"/>
    <w:rsid w:val="00057565"/>
    <w:rsid w:val="00057BA8"/>
    <w:rsid w:val="00057E1A"/>
    <w:rsid w:val="0006086C"/>
    <w:rsid w:val="00060B5E"/>
    <w:rsid w:val="00060DA4"/>
    <w:rsid w:val="00061108"/>
    <w:rsid w:val="00061387"/>
    <w:rsid w:val="00061769"/>
    <w:rsid w:val="000618FD"/>
    <w:rsid w:val="00062291"/>
    <w:rsid w:val="000624AD"/>
    <w:rsid w:val="00062713"/>
    <w:rsid w:val="00062836"/>
    <w:rsid w:val="00063685"/>
    <w:rsid w:val="00063AF2"/>
    <w:rsid w:val="00063CFA"/>
    <w:rsid w:val="00063DEE"/>
    <w:rsid w:val="00064B05"/>
    <w:rsid w:val="00064C94"/>
    <w:rsid w:val="00064F29"/>
    <w:rsid w:val="000651E3"/>
    <w:rsid w:val="00065C28"/>
    <w:rsid w:val="00065E6C"/>
    <w:rsid w:val="000664A9"/>
    <w:rsid w:val="000666CE"/>
    <w:rsid w:val="00066B54"/>
    <w:rsid w:val="00066DF8"/>
    <w:rsid w:val="000670DB"/>
    <w:rsid w:val="0006774A"/>
    <w:rsid w:val="00067B58"/>
    <w:rsid w:val="000703C1"/>
    <w:rsid w:val="0007071E"/>
    <w:rsid w:val="00070F8E"/>
    <w:rsid w:val="000720E2"/>
    <w:rsid w:val="0007229C"/>
    <w:rsid w:val="00072C3D"/>
    <w:rsid w:val="00072E09"/>
    <w:rsid w:val="00073359"/>
    <w:rsid w:val="000734F8"/>
    <w:rsid w:val="00073AAF"/>
    <w:rsid w:val="00073E2C"/>
    <w:rsid w:val="00074270"/>
    <w:rsid w:val="00074749"/>
    <w:rsid w:val="00076AE1"/>
    <w:rsid w:val="00076D22"/>
    <w:rsid w:val="00076E95"/>
    <w:rsid w:val="000770FA"/>
    <w:rsid w:val="0007726E"/>
    <w:rsid w:val="00080035"/>
    <w:rsid w:val="0008016C"/>
    <w:rsid w:val="000801D3"/>
    <w:rsid w:val="000802AF"/>
    <w:rsid w:val="000804BC"/>
    <w:rsid w:val="000806B2"/>
    <w:rsid w:val="000816DB"/>
    <w:rsid w:val="000817C0"/>
    <w:rsid w:val="00081A52"/>
    <w:rsid w:val="00081AA4"/>
    <w:rsid w:val="000823E4"/>
    <w:rsid w:val="00082513"/>
    <w:rsid w:val="000826C5"/>
    <w:rsid w:val="00082A10"/>
    <w:rsid w:val="00082C1F"/>
    <w:rsid w:val="000833E5"/>
    <w:rsid w:val="00083CDC"/>
    <w:rsid w:val="00083DE6"/>
    <w:rsid w:val="00084026"/>
    <w:rsid w:val="00084A4F"/>
    <w:rsid w:val="00084BF9"/>
    <w:rsid w:val="00085E29"/>
    <w:rsid w:val="00086689"/>
    <w:rsid w:val="00086EC6"/>
    <w:rsid w:val="00087B67"/>
    <w:rsid w:val="00087CFF"/>
    <w:rsid w:val="00087E44"/>
    <w:rsid w:val="00087EB3"/>
    <w:rsid w:val="0009020F"/>
    <w:rsid w:val="0009055A"/>
    <w:rsid w:val="00090ADF"/>
    <w:rsid w:val="00090B0F"/>
    <w:rsid w:val="00090DEE"/>
    <w:rsid w:val="00092661"/>
    <w:rsid w:val="00092B66"/>
    <w:rsid w:val="00092DC2"/>
    <w:rsid w:val="00093D23"/>
    <w:rsid w:val="00094212"/>
    <w:rsid w:val="000942E4"/>
    <w:rsid w:val="000947E4"/>
    <w:rsid w:val="000955BB"/>
    <w:rsid w:val="0009569B"/>
    <w:rsid w:val="0009574E"/>
    <w:rsid w:val="00095E53"/>
    <w:rsid w:val="00096754"/>
    <w:rsid w:val="00096EA4"/>
    <w:rsid w:val="00097A43"/>
    <w:rsid w:val="000A0197"/>
    <w:rsid w:val="000A0213"/>
    <w:rsid w:val="000A0BFA"/>
    <w:rsid w:val="000A10CD"/>
    <w:rsid w:val="000A1829"/>
    <w:rsid w:val="000A1FC5"/>
    <w:rsid w:val="000A27D9"/>
    <w:rsid w:val="000A29A4"/>
    <w:rsid w:val="000A2BD1"/>
    <w:rsid w:val="000A318C"/>
    <w:rsid w:val="000A328E"/>
    <w:rsid w:val="000A4411"/>
    <w:rsid w:val="000A4947"/>
    <w:rsid w:val="000A5105"/>
    <w:rsid w:val="000A5445"/>
    <w:rsid w:val="000A5AC6"/>
    <w:rsid w:val="000A5EDD"/>
    <w:rsid w:val="000A6B99"/>
    <w:rsid w:val="000A750E"/>
    <w:rsid w:val="000A7739"/>
    <w:rsid w:val="000B11B3"/>
    <w:rsid w:val="000B1681"/>
    <w:rsid w:val="000B17E5"/>
    <w:rsid w:val="000B2050"/>
    <w:rsid w:val="000B26D0"/>
    <w:rsid w:val="000B2D1E"/>
    <w:rsid w:val="000B34E7"/>
    <w:rsid w:val="000B35A9"/>
    <w:rsid w:val="000B38BF"/>
    <w:rsid w:val="000B4012"/>
    <w:rsid w:val="000B4615"/>
    <w:rsid w:val="000B4C1B"/>
    <w:rsid w:val="000B4CEC"/>
    <w:rsid w:val="000B54F4"/>
    <w:rsid w:val="000B6712"/>
    <w:rsid w:val="000B6AB6"/>
    <w:rsid w:val="000B6EC5"/>
    <w:rsid w:val="000B777C"/>
    <w:rsid w:val="000B77AE"/>
    <w:rsid w:val="000B7A3B"/>
    <w:rsid w:val="000C05CB"/>
    <w:rsid w:val="000C123A"/>
    <w:rsid w:val="000C15A1"/>
    <w:rsid w:val="000C1693"/>
    <w:rsid w:val="000C201F"/>
    <w:rsid w:val="000C348E"/>
    <w:rsid w:val="000C3655"/>
    <w:rsid w:val="000C385C"/>
    <w:rsid w:val="000C3F29"/>
    <w:rsid w:val="000C3F54"/>
    <w:rsid w:val="000C4824"/>
    <w:rsid w:val="000C4F41"/>
    <w:rsid w:val="000C5005"/>
    <w:rsid w:val="000C54F7"/>
    <w:rsid w:val="000C58C3"/>
    <w:rsid w:val="000C5F01"/>
    <w:rsid w:val="000C5FEE"/>
    <w:rsid w:val="000C649A"/>
    <w:rsid w:val="000C6521"/>
    <w:rsid w:val="000C7CE4"/>
    <w:rsid w:val="000D01EB"/>
    <w:rsid w:val="000D0C45"/>
    <w:rsid w:val="000D102A"/>
    <w:rsid w:val="000D2725"/>
    <w:rsid w:val="000D2BD2"/>
    <w:rsid w:val="000D2DFA"/>
    <w:rsid w:val="000D3235"/>
    <w:rsid w:val="000D3DBF"/>
    <w:rsid w:val="000D406E"/>
    <w:rsid w:val="000D444E"/>
    <w:rsid w:val="000D459E"/>
    <w:rsid w:val="000D58A5"/>
    <w:rsid w:val="000D5C90"/>
    <w:rsid w:val="000D5EF0"/>
    <w:rsid w:val="000D6344"/>
    <w:rsid w:val="000D6524"/>
    <w:rsid w:val="000D7105"/>
    <w:rsid w:val="000D78D9"/>
    <w:rsid w:val="000D7D13"/>
    <w:rsid w:val="000E05BA"/>
    <w:rsid w:val="000E0905"/>
    <w:rsid w:val="000E1396"/>
    <w:rsid w:val="000E19F4"/>
    <w:rsid w:val="000E1E07"/>
    <w:rsid w:val="000E25A5"/>
    <w:rsid w:val="000E3314"/>
    <w:rsid w:val="000E3345"/>
    <w:rsid w:val="000E3AC7"/>
    <w:rsid w:val="000E428A"/>
    <w:rsid w:val="000E4A08"/>
    <w:rsid w:val="000E4A35"/>
    <w:rsid w:val="000E5183"/>
    <w:rsid w:val="000E554A"/>
    <w:rsid w:val="000E58C3"/>
    <w:rsid w:val="000E5C1D"/>
    <w:rsid w:val="000E5D63"/>
    <w:rsid w:val="000E6266"/>
    <w:rsid w:val="000E6322"/>
    <w:rsid w:val="000E6883"/>
    <w:rsid w:val="000E75E4"/>
    <w:rsid w:val="000E7A1C"/>
    <w:rsid w:val="000E7D72"/>
    <w:rsid w:val="000F066A"/>
    <w:rsid w:val="000F0932"/>
    <w:rsid w:val="000F0AD0"/>
    <w:rsid w:val="000F0CC8"/>
    <w:rsid w:val="000F0DEF"/>
    <w:rsid w:val="000F15C4"/>
    <w:rsid w:val="000F16DF"/>
    <w:rsid w:val="000F18A7"/>
    <w:rsid w:val="000F1F55"/>
    <w:rsid w:val="000F2826"/>
    <w:rsid w:val="000F3426"/>
    <w:rsid w:val="000F375E"/>
    <w:rsid w:val="000F3CF5"/>
    <w:rsid w:val="000F3FC0"/>
    <w:rsid w:val="000F40AA"/>
    <w:rsid w:val="000F4DB1"/>
    <w:rsid w:val="000F5936"/>
    <w:rsid w:val="000F5EE0"/>
    <w:rsid w:val="000F6538"/>
    <w:rsid w:val="000F6883"/>
    <w:rsid w:val="000F68A4"/>
    <w:rsid w:val="000F7F06"/>
    <w:rsid w:val="001003ED"/>
    <w:rsid w:val="0010097B"/>
    <w:rsid w:val="00100C14"/>
    <w:rsid w:val="00100C30"/>
    <w:rsid w:val="001012FF"/>
    <w:rsid w:val="001013F1"/>
    <w:rsid w:val="001026AD"/>
    <w:rsid w:val="001029C8"/>
    <w:rsid w:val="00102C34"/>
    <w:rsid w:val="00103619"/>
    <w:rsid w:val="00103C5B"/>
    <w:rsid w:val="00103C77"/>
    <w:rsid w:val="001041EC"/>
    <w:rsid w:val="0010479C"/>
    <w:rsid w:val="00104A52"/>
    <w:rsid w:val="00104B1F"/>
    <w:rsid w:val="00104B71"/>
    <w:rsid w:val="00105431"/>
    <w:rsid w:val="001054E4"/>
    <w:rsid w:val="00110110"/>
    <w:rsid w:val="00110BCA"/>
    <w:rsid w:val="0011176C"/>
    <w:rsid w:val="00111F9F"/>
    <w:rsid w:val="0011270E"/>
    <w:rsid w:val="0011271B"/>
    <w:rsid w:val="00113900"/>
    <w:rsid w:val="00113C68"/>
    <w:rsid w:val="001143D7"/>
    <w:rsid w:val="00114529"/>
    <w:rsid w:val="00115A58"/>
    <w:rsid w:val="001171B2"/>
    <w:rsid w:val="0012143E"/>
    <w:rsid w:val="00121893"/>
    <w:rsid w:val="0012389B"/>
    <w:rsid w:val="00124104"/>
    <w:rsid w:val="00124A92"/>
    <w:rsid w:val="0012528C"/>
    <w:rsid w:val="00125348"/>
    <w:rsid w:val="00125B77"/>
    <w:rsid w:val="001265DF"/>
    <w:rsid w:val="00126615"/>
    <w:rsid w:val="00126719"/>
    <w:rsid w:val="0012681A"/>
    <w:rsid w:val="00130848"/>
    <w:rsid w:val="00130C04"/>
    <w:rsid w:val="00130E12"/>
    <w:rsid w:val="00131DE0"/>
    <w:rsid w:val="00132184"/>
    <w:rsid w:val="00132FC0"/>
    <w:rsid w:val="00133317"/>
    <w:rsid w:val="00133540"/>
    <w:rsid w:val="00135407"/>
    <w:rsid w:val="001357B9"/>
    <w:rsid w:val="00135A07"/>
    <w:rsid w:val="00135C88"/>
    <w:rsid w:val="00136193"/>
    <w:rsid w:val="00136F15"/>
    <w:rsid w:val="00137043"/>
    <w:rsid w:val="0013792A"/>
    <w:rsid w:val="001401DF"/>
    <w:rsid w:val="00140520"/>
    <w:rsid w:val="00140728"/>
    <w:rsid w:val="00140A29"/>
    <w:rsid w:val="00141097"/>
    <w:rsid w:val="00141A02"/>
    <w:rsid w:val="0014232C"/>
    <w:rsid w:val="0014247F"/>
    <w:rsid w:val="00142AD0"/>
    <w:rsid w:val="00142C86"/>
    <w:rsid w:val="00143351"/>
    <w:rsid w:val="001434D8"/>
    <w:rsid w:val="00143865"/>
    <w:rsid w:val="001439C6"/>
    <w:rsid w:val="00143B25"/>
    <w:rsid w:val="00143C68"/>
    <w:rsid w:val="00143DA3"/>
    <w:rsid w:val="0014462B"/>
    <w:rsid w:val="00145731"/>
    <w:rsid w:val="00145764"/>
    <w:rsid w:val="0014633C"/>
    <w:rsid w:val="0014644A"/>
    <w:rsid w:val="00147190"/>
    <w:rsid w:val="00147789"/>
    <w:rsid w:val="00147DC3"/>
    <w:rsid w:val="00147E07"/>
    <w:rsid w:val="00147F9F"/>
    <w:rsid w:val="00150381"/>
    <w:rsid w:val="00150AA2"/>
    <w:rsid w:val="00151745"/>
    <w:rsid w:val="0015238B"/>
    <w:rsid w:val="0015275D"/>
    <w:rsid w:val="001543CD"/>
    <w:rsid w:val="001546D9"/>
    <w:rsid w:val="001550C1"/>
    <w:rsid w:val="001555E6"/>
    <w:rsid w:val="001561FD"/>
    <w:rsid w:val="0015625F"/>
    <w:rsid w:val="00156827"/>
    <w:rsid w:val="001568C7"/>
    <w:rsid w:val="00156A94"/>
    <w:rsid w:val="0015729E"/>
    <w:rsid w:val="00157437"/>
    <w:rsid w:val="00157636"/>
    <w:rsid w:val="00160A95"/>
    <w:rsid w:val="00160D49"/>
    <w:rsid w:val="00160D6F"/>
    <w:rsid w:val="00160DF6"/>
    <w:rsid w:val="00161AF8"/>
    <w:rsid w:val="001622BC"/>
    <w:rsid w:val="001624E5"/>
    <w:rsid w:val="00162C06"/>
    <w:rsid w:val="00162CBB"/>
    <w:rsid w:val="00162D94"/>
    <w:rsid w:val="00162F8D"/>
    <w:rsid w:val="001635AC"/>
    <w:rsid w:val="0016374B"/>
    <w:rsid w:val="00164313"/>
    <w:rsid w:val="001648CB"/>
    <w:rsid w:val="00164C19"/>
    <w:rsid w:val="00165467"/>
    <w:rsid w:val="001656A0"/>
    <w:rsid w:val="001656ED"/>
    <w:rsid w:val="00167C93"/>
    <w:rsid w:val="001700EA"/>
    <w:rsid w:val="001706ED"/>
    <w:rsid w:val="00171A0B"/>
    <w:rsid w:val="00171C14"/>
    <w:rsid w:val="001723F4"/>
    <w:rsid w:val="00173C04"/>
    <w:rsid w:val="00173CCE"/>
    <w:rsid w:val="00174830"/>
    <w:rsid w:val="00174F50"/>
    <w:rsid w:val="00175F47"/>
    <w:rsid w:val="00176612"/>
    <w:rsid w:val="00177D74"/>
    <w:rsid w:val="0018023E"/>
    <w:rsid w:val="00180A09"/>
    <w:rsid w:val="00181640"/>
    <w:rsid w:val="00182144"/>
    <w:rsid w:val="00182456"/>
    <w:rsid w:val="0018246F"/>
    <w:rsid w:val="001824C5"/>
    <w:rsid w:val="001828DE"/>
    <w:rsid w:val="00182B3B"/>
    <w:rsid w:val="00183167"/>
    <w:rsid w:val="0018347A"/>
    <w:rsid w:val="00184E0C"/>
    <w:rsid w:val="001851F6"/>
    <w:rsid w:val="00185987"/>
    <w:rsid w:val="00185B51"/>
    <w:rsid w:val="0018684B"/>
    <w:rsid w:val="00186B4A"/>
    <w:rsid w:val="00186B81"/>
    <w:rsid w:val="00186CCE"/>
    <w:rsid w:val="001906B2"/>
    <w:rsid w:val="0019090D"/>
    <w:rsid w:val="00190F93"/>
    <w:rsid w:val="00191307"/>
    <w:rsid w:val="00191893"/>
    <w:rsid w:val="00191BD6"/>
    <w:rsid w:val="00191F0D"/>
    <w:rsid w:val="00191FD9"/>
    <w:rsid w:val="00192347"/>
    <w:rsid w:val="00192473"/>
    <w:rsid w:val="00192B9B"/>
    <w:rsid w:val="0019360D"/>
    <w:rsid w:val="001937FC"/>
    <w:rsid w:val="00193BDD"/>
    <w:rsid w:val="00193EE6"/>
    <w:rsid w:val="00194308"/>
    <w:rsid w:val="001945EB"/>
    <w:rsid w:val="001950FA"/>
    <w:rsid w:val="00196CCD"/>
    <w:rsid w:val="00196D1E"/>
    <w:rsid w:val="0019733B"/>
    <w:rsid w:val="00197574"/>
    <w:rsid w:val="00197891"/>
    <w:rsid w:val="00197B7F"/>
    <w:rsid w:val="001A000E"/>
    <w:rsid w:val="001A15A3"/>
    <w:rsid w:val="001A186B"/>
    <w:rsid w:val="001A2149"/>
    <w:rsid w:val="001A219D"/>
    <w:rsid w:val="001A2E01"/>
    <w:rsid w:val="001A2ECB"/>
    <w:rsid w:val="001A31AC"/>
    <w:rsid w:val="001A32C1"/>
    <w:rsid w:val="001A3426"/>
    <w:rsid w:val="001A39EF"/>
    <w:rsid w:val="001A3C45"/>
    <w:rsid w:val="001A4596"/>
    <w:rsid w:val="001A4A3F"/>
    <w:rsid w:val="001A5E1B"/>
    <w:rsid w:val="001A5E52"/>
    <w:rsid w:val="001A62B7"/>
    <w:rsid w:val="001A635C"/>
    <w:rsid w:val="001A7441"/>
    <w:rsid w:val="001A75B3"/>
    <w:rsid w:val="001B0199"/>
    <w:rsid w:val="001B02AD"/>
    <w:rsid w:val="001B0567"/>
    <w:rsid w:val="001B09A3"/>
    <w:rsid w:val="001B1073"/>
    <w:rsid w:val="001B15C1"/>
    <w:rsid w:val="001B2706"/>
    <w:rsid w:val="001B27A9"/>
    <w:rsid w:val="001B30E1"/>
    <w:rsid w:val="001B3975"/>
    <w:rsid w:val="001B4185"/>
    <w:rsid w:val="001B4B6F"/>
    <w:rsid w:val="001B4D3F"/>
    <w:rsid w:val="001B573E"/>
    <w:rsid w:val="001B59D9"/>
    <w:rsid w:val="001B7C84"/>
    <w:rsid w:val="001C0D3D"/>
    <w:rsid w:val="001C0F92"/>
    <w:rsid w:val="001C14F5"/>
    <w:rsid w:val="001C15F8"/>
    <w:rsid w:val="001C196B"/>
    <w:rsid w:val="001C1ADA"/>
    <w:rsid w:val="001C23FE"/>
    <w:rsid w:val="001C25DF"/>
    <w:rsid w:val="001C2991"/>
    <w:rsid w:val="001C2C48"/>
    <w:rsid w:val="001C2DB9"/>
    <w:rsid w:val="001C36D8"/>
    <w:rsid w:val="001C3E9E"/>
    <w:rsid w:val="001C3F8C"/>
    <w:rsid w:val="001C47E7"/>
    <w:rsid w:val="001C47F8"/>
    <w:rsid w:val="001C4C68"/>
    <w:rsid w:val="001C4D02"/>
    <w:rsid w:val="001C4E63"/>
    <w:rsid w:val="001C5256"/>
    <w:rsid w:val="001C5831"/>
    <w:rsid w:val="001C6DA4"/>
    <w:rsid w:val="001C71BF"/>
    <w:rsid w:val="001C75B9"/>
    <w:rsid w:val="001C77FD"/>
    <w:rsid w:val="001D05B1"/>
    <w:rsid w:val="001D06D8"/>
    <w:rsid w:val="001D0D56"/>
    <w:rsid w:val="001D144F"/>
    <w:rsid w:val="001D2AD4"/>
    <w:rsid w:val="001D2E17"/>
    <w:rsid w:val="001D3376"/>
    <w:rsid w:val="001D36D8"/>
    <w:rsid w:val="001D4160"/>
    <w:rsid w:val="001D4C26"/>
    <w:rsid w:val="001D518A"/>
    <w:rsid w:val="001D5554"/>
    <w:rsid w:val="001D5810"/>
    <w:rsid w:val="001D6131"/>
    <w:rsid w:val="001D667F"/>
    <w:rsid w:val="001D72C9"/>
    <w:rsid w:val="001D75E4"/>
    <w:rsid w:val="001E022D"/>
    <w:rsid w:val="001E044E"/>
    <w:rsid w:val="001E0745"/>
    <w:rsid w:val="001E10F6"/>
    <w:rsid w:val="001E18CB"/>
    <w:rsid w:val="001E1CDD"/>
    <w:rsid w:val="001E2197"/>
    <w:rsid w:val="001E2C36"/>
    <w:rsid w:val="001E2CA6"/>
    <w:rsid w:val="001E3068"/>
    <w:rsid w:val="001E3154"/>
    <w:rsid w:val="001E31EB"/>
    <w:rsid w:val="001E32F4"/>
    <w:rsid w:val="001E32F9"/>
    <w:rsid w:val="001E3559"/>
    <w:rsid w:val="001E35D3"/>
    <w:rsid w:val="001E3EBE"/>
    <w:rsid w:val="001E4400"/>
    <w:rsid w:val="001E4725"/>
    <w:rsid w:val="001E47A8"/>
    <w:rsid w:val="001E4D1D"/>
    <w:rsid w:val="001E4FB4"/>
    <w:rsid w:val="001E5D75"/>
    <w:rsid w:val="001E64CB"/>
    <w:rsid w:val="001E6586"/>
    <w:rsid w:val="001E672A"/>
    <w:rsid w:val="001E688A"/>
    <w:rsid w:val="001E68B6"/>
    <w:rsid w:val="001E6C70"/>
    <w:rsid w:val="001E6E29"/>
    <w:rsid w:val="001E751F"/>
    <w:rsid w:val="001E7F68"/>
    <w:rsid w:val="001E7FAA"/>
    <w:rsid w:val="001F2169"/>
    <w:rsid w:val="001F2218"/>
    <w:rsid w:val="001F2A51"/>
    <w:rsid w:val="001F2E3F"/>
    <w:rsid w:val="001F3099"/>
    <w:rsid w:val="001F357D"/>
    <w:rsid w:val="001F3BEB"/>
    <w:rsid w:val="001F4802"/>
    <w:rsid w:val="001F4A4F"/>
    <w:rsid w:val="001F4C22"/>
    <w:rsid w:val="001F4C33"/>
    <w:rsid w:val="001F4F8B"/>
    <w:rsid w:val="001F4FF3"/>
    <w:rsid w:val="001F58DA"/>
    <w:rsid w:val="001F58EE"/>
    <w:rsid w:val="001F598E"/>
    <w:rsid w:val="001F6004"/>
    <w:rsid w:val="001F63E4"/>
    <w:rsid w:val="001F6706"/>
    <w:rsid w:val="001F6D89"/>
    <w:rsid w:val="001F731D"/>
    <w:rsid w:val="001F74E2"/>
    <w:rsid w:val="001F77B0"/>
    <w:rsid w:val="001F7967"/>
    <w:rsid w:val="002001C9"/>
    <w:rsid w:val="002003E0"/>
    <w:rsid w:val="00200719"/>
    <w:rsid w:val="00200DE4"/>
    <w:rsid w:val="00200FDA"/>
    <w:rsid w:val="00201BB2"/>
    <w:rsid w:val="00201BDB"/>
    <w:rsid w:val="00201F06"/>
    <w:rsid w:val="00202628"/>
    <w:rsid w:val="00203244"/>
    <w:rsid w:val="00203EB7"/>
    <w:rsid w:val="002049C5"/>
    <w:rsid w:val="0020530B"/>
    <w:rsid w:val="00205EE0"/>
    <w:rsid w:val="0020618C"/>
    <w:rsid w:val="00206B01"/>
    <w:rsid w:val="00206E53"/>
    <w:rsid w:val="00210B9B"/>
    <w:rsid w:val="002110A2"/>
    <w:rsid w:val="0021110A"/>
    <w:rsid w:val="00211296"/>
    <w:rsid w:val="00211633"/>
    <w:rsid w:val="00211780"/>
    <w:rsid w:val="00211B98"/>
    <w:rsid w:val="0021285D"/>
    <w:rsid w:val="00212F12"/>
    <w:rsid w:val="0021339A"/>
    <w:rsid w:val="00213ACB"/>
    <w:rsid w:val="00213C30"/>
    <w:rsid w:val="00213CD2"/>
    <w:rsid w:val="00214B54"/>
    <w:rsid w:val="00214C5A"/>
    <w:rsid w:val="00215187"/>
    <w:rsid w:val="00215522"/>
    <w:rsid w:val="00215D4A"/>
    <w:rsid w:val="002167AD"/>
    <w:rsid w:val="0021707B"/>
    <w:rsid w:val="0021709A"/>
    <w:rsid w:val="0021717C"/>
    <w:rsid w:val="00217867"/>
    <w:rsid w:val="0021795F"/>
    <w:rsid w:val="00220BC6"/>
    <w:rsid w:val="00221243"/>
    <w:rsid w:val="00221E25"/>
    <w:rsid w:val="00222710"/>
    <w:rsid w:val="00222A34"/>
    <w:rsid w:val="00222CAF"/>
    <w:rsid w:val="002230A7"/>
    <w:rsid w:val="002233A0"/>
    <w:rsid w:val="002243C5"/>
    <w:rsid w:val="002246BC"/>
    <w:rsid w:val="00224D28"/>
    <w:rsid w:val="0022503D"/>
    <w:rsid w:val="0022538E"/>
    <w:rsid w:val="00225416"/>
    <w:rsid w:val="002254C9"/>
    <w:rsid w:val="0022627F"/>
    <w:rsid w:val="002269C4"/>
    <w:rsid w:val="00226A6F"/>
    <w:rsid w:val="00226FD3"/>
    <w:rsid w:val="0022701D"/>
    <w:rsid w:val="0022718D"/>
    <w:rsid w:val="00227CC0"/>
    <w:rsid w:val="00227CC9"/>
    <w:rsid w:val="00227F97"/>
    <w:rsid w:val="002300B4"/>
    <w:rsid w:val="00230427"/>
    <w:rsid w:val="00230654"/>
    <w:rsid w:val="00230683"/>
    <w:rsid w:val="0023091C"/>
    <w:rsid w:val="00230C9E"/>
    <w:rsid w:val="00230E1A"/>
    <w:rsid w:val="002325CE"/>
    <w:rsid w:val="00232DDA"/>
    <w:rsid w:val="00233599"/>
    <w:rsid w:val="00233FD5"/>
    <w:rsid w:val="002346FE"/>
    <w:rsid w:val="00234E3A"/>
    <w:rsid w:val="002352E0"/>
    <w:rsid w:val="0023534A"/>
    <w:rsid w:val="002360C9"/>
    <w:rsid w:val="00236A80"/>
    <w:rsid w:val="00236F24"/>
    <w:rsid w:val="002373A8"/>
    <w:rsid w:val="00237642"/>
    <w:rsid w:val="002379EC"/>
    <w:rsid w:val="00237D1F"/>
    <w:rsid w:val="002403D3"/>
    <w:rsid w:val="0024070D"/>
    <w:rsid w:val="00240B3C"/>
    <w:rsid w:val="00240BE6"/>
    <w:rsid w:val="00241015"/>
    <w:rsid w:val="0024105C"/>
    <w:rsid w:val="0024192B"/>
    <w:rsid w:val="00242226"/>
    <w:rsid w:val="00242BD5"/>
    <w:rsid w:val="00242C45"/>
    <w:rsid w:val="00243114"/>
    <w:rsid w:val="00243290"/>
    <w:rsid w:val="00243382"/>
    <w:rsid w:val="002439D8"/>
    <w:rsid w:val="00243E3B"/>
    <w:rsid w:val="0024415C"/>
    <w:rsid w:val="002442B7"/>
    <w:rsid w:val="0024435F"/>
    <w:rsid w:val="00244387"/>
    <w:rsid w:val="00244600"/>
    <w:rsid w:val="00244AA8"/>
    <w:rsid w:val="002450F2"/>
    <w:rsid w:val="0024511A"/>
    <w:rsid w:val="002461AA"/>
    <w:rsid w:val="002465D6"/>
    <w:rsid w:val="00246F17"/>
    <w:rsid w:val="00247A7D"/>
    <w:rsid w:val="00247F75"/>
    <w:rsid w:val="00250103"/>
    <w:rsid w:val="0025074D"/>
    <w:rsid w:val="0025094A"/>
    <w:rsid w:val="0025131F"/>
    <w:rsid w:val="00251AB2"/>
    <w:rsid w:val="00251CFC"/>
    <w:rsid w:val="00251E16"/>
    <w:rsid w:val="00252024"/>
    <w:rsid w:val="0025233A"/>
    <w:rsid w:val="00252791"/>
    <w:rsid w:val="0025301D"/>
    <w:rsid w:val="00253333"/>
    <w:rsid w:val="00253EC3"/>
    <w:rsid w:val="00253F15"/>
    <w:rsid w:val="002547B1"/>
    <w:rsid w:val="002549B7"/>
    <w:rsid w:val="00254F0E"/>
    <w:rsid w:val="0025559F"/>
    <w:rsid w:val="002558A1"/>
    <w:rsid w:val="00255EE9"/>
    <w:rsid w:val="0025661E"/>
    <w:rsid w:val="0025685B"/>
    <w:rsid w:val="00257321"/>
    <w:rsid w:val="00257E3E"/>
    <w:rsid w:val="00257EBE"/>
    <w:rsid w:val="00260770"/>
    <w:rsid w:val="002608EE"/>
    <w:rsid w:val="002609BC"/>
    <w:rsid w:val="002609CE"/>
    <w:rsid w:val="002620B5"/>
    <w:rsid w:val="00262ADF"/>
    <w:rsid w:val="00262D3A"/>
    <w:rsid w:val="00262D51"/>
    <w:rsid w:val="002636BF"/>
    <w:rsid w:val="00263880"/>
    <w:rsid w:val="00263B01"/>
    <w:rsid w:val="00265094"/>
    <w:rsid w:val="0026566F"/>
    <w:rsid w:val="00266354"/>
    <w:rsid w:val="00266D44"/>
    <w:rsid w:val="00266D4B"/>
    <w:rsid w:val="00266F8E"/>
    <w:rsid w:val="0026721A"/>
    <w:rsid w:val="002676D0"/>
    <w:rsid w:val="002678C9"/>
    <w:rsid w:val="002678DF"/>
    <w:rsid w:val="00267B3F"/>
    <w:rsid w:val="00270070"/>
    <w:rsid w:val="002717DC"/>
    <w:rsid w:val="002718E8"/>
    <w:rsid w:val="00272981"/>
    <w:rsid w:val="002729DA"/>
    <w:rsid w:val="0027300C"/>
    <w:rsid w:val="0027371B"/>
    <w:rsid w:val="00274C59"/>
    <w:rsid w:val="00275124"/>
    <w:rsid w:val="0027593E"/>
    <w:rsid w:val="00275BE9"/>
    <w:rsid w:val="00276173"/>
    <w:rsid w:val="002763AB"/>
    <w:rsid w:val="00276E5C"/>
    <w:rsid w:val="00280504"/>
    <w:rsid w:val="0028072F"/>
    <w:rsid w:val="00280F93"/>
    <w:rsid w:val="00281049"/>
    <w:rsid w:val="00281930"/>
    <w:rsid w:val="00281BDF"/>
    <w:rsid w:val="00281DAB"/>
    <w:rsid w:val="00281ECB"/>
    <w:rsid w:val="00282762"/>
    <w:rsid w:val="002827A0"/>
    <w:rsid w:val="002828B4"/>
    <w:rsid w:val="00282925"/>
    <w:rsid w:val="0028299D"/>
    <w:rsid w:val="00282BB7"/>
    <w:rsid w:val="00283441"/>
    <w:rsid w:val="00283682"/>
    <w:rsid w:val="0028394B"/>
    <w:rsid w:val="00283C1E"/>
    <w:rsid w:val="00284E3F"/>
    <w:rsid w:val="002862DA"/>
    <w:rsid w:val="0028661F"/>
    <w:rsid w:val="00286C37"/>
    <w:rsid w:val="00287AF6"/>
    <w:rsid w:val="00290944"/>
    <w:rsid w:val="00290C52"/>
    <w:rsid w:val="00290EF4"/>
    <w:rsid w:val="002927FB"/>
    <w:rsid w:val="00292C1B"/>
    <w:rsid w:val="00292CAE"/>
    <w:rsid w:val="00293379"/>
    <w:rsid w:val="002934EA"/>
    <w:rsid w:val="00293793"/>
    <w:rsid w:val="00294052"/>
    <w:rsid w:val="00294D85"/>
    <w:rsid w:val="00294E63"/>
    <w:rsid w:val="00295779"/>
    <w:rsid w:val="00296538"/>
    <w:rsid w:val="00296F55"/>
    <w:rsid w:val="00297117"/>
    <w:rsid w:val="002A0387"/>
    <w:rsid w:val="002A043E"/>
    <w:rsid w:val="002A088A"/>
    <w:rsid w:val="002A12D1"/>
    <w:rsid w:val="002A164A"/>
    <w:rsid w:val="002A16C0"/>
    <w:rsid w:val="002A1C71"/>
    <w:rsid w:val="002A2573"/>
    <w:rsid w:val="002A33B9"/>
    <w:rsid w:val="002A3C3C"/>
    <w:rsid w:val="002A411C"/>
    <w:rsid w:val="002A475D"/>
    <w:rsid w:val="002A4D1D"/>
    <w:rsid w:val="002A4ECD"/>
    <w:rsid w:val="002A5FAA"/>
    <w:rsid w:val="002A67DD"/>
    <w:rsid w:val="002A6C41"/>
    <w:rsid w:val="002A7236"/>
    <w:rsid w:val="002A72CE"/>
    <w:rsid w:val="002B007D"/>
    <w:rsid w:val="002B13D2"/>
    <w:rsid w:val="002B35C4"/>
    <w:rsid w:val="002B3812"/>
    <w:rsid w:val="002B43C1"/>
    <w:rsid w:val="002B4544"/>
    <w:rsid w:val="002B47FC"/>
    <w:rsid w:val="002B4A0C"/>
    <w:rsid w:val="002B5E7B"/>
    <w:rsid w:val="002B63D1"/>
    <w:rsid w:val="002B6A6D"/>
    <w:rsid w:val="002B6C17"/>
    <w:rsid w:val="002B6D1F"/>
    <w:rsid w:val="002B6D39"/>
    <w:rsid w:val="002B7BDA"/>
    <w:rsid w:val="002B7F8E"/>
    <w:rsid w:val="002C02D6"/>
    <w:rsid w:val="002C09C5"/>
    <w:rsid w:val="002C1065"/>
    <w:rsid w:val="002C1DBC"/>
    <w:rsid w:val="002C2092"/>
    <w:rsid w:val="002C21CA"/>
    <w:rsid w:val="002C27BC"/>
    <w:rsid w:val="002C29FA"/>
    <w:rsid w:val="002C2E1C"/>
    <w:rsid w:val="002C2E4F"/>
    <w:rsid w:val="002C3F8D"/>
    <w:rsid w:val="002C4A22"/>
    <w:rsid w:val="002C50AE"/>
    <w:rsid w:val="002C55D8"/>
    <w:rsid w:val="002C5CB2"/>
    <w:rsid w:val="002C643A"/>
    <w:rsid w:val="002C65BC"/>
    <w:rsid w:val="002C6836"/>
    <w:rsid w:val="002C709B"/>
    <w:rsid w:val="002C7113"/>
    <w:rsid w:val="002C7B11"/>
    <w:rsid w:val="002C7E88"/>
    <w:rsid w:val="002D0BFA"/>
    <w:rsid w:val="002D1815"/>
    <w:rsid w:val="002D1928"/>
    <w:rsid w:val="002D2989"/>
    <w:rsid w:val="002D2F7D"/>
    <w:rsid w:val="002D3D01"/>
    <w:rsid w:val="002D3D14"/>
    <w:rsid w:val="002D49E0"/>
    <w:rsid w:val="002D4AA4"/>
    <w:rsid w:val="002D66EC"/>
    <w:rsid w:val="002D6B7D"/>
    <w:rsid w:val="002D7139"/>
    <w:rsid w:val="002D7C3A"/>
    <w:rsid w:val="002D7DD0"/>
    <w:rsid w:val="002E014A"/>
    <w:rsid w:val="002E04EA"/>
    <w:rsid w:val="002E15A1"/>
    <w:rsid w:val="002E1BAF"/>
    <w:rsid w:val="002E20A9"/>
    <w:rsid w:val="002E253A"/>
    <w:rsid w:val="002E3693"/>
    <w:rsid w:val="002E4142"/>
    <w:rsid w:val="002E5A8C"/>
    <w:rsid w:val="002E5D51"/>
    <w:rsid w:val="002E6087"/>
    <w:rsid w:val="002E6225"/>
    <w:rsid w:val="002E6B29"/>
    <w:rsid w:val="002E6ED1"/>
    <w:rsid w:val="002E7697"/>
    <w:rsid w:val="002E7978"/>
    <w:rsid w:val="002E7A25"/>
    <w:rsid w:val="002E7BE9"/>
    <w:rsid w:val="002E7E90"/>
    <w:rsid w:val="002F0221"/>
    <w:rsid w:val="002F0BCD"/>
    <w:rsid w:val="002F102F"/>
    <w:rsid w:val="002F13AF"/>
    <w:rsid w:val="002F1BBB"/>
    <w:rsid w:val="002F375E"/>
    <w:rsid w:val="002F434D"/>
    <w:rsid w:val="002F4F1C"/>
    <w:rsid w:val="002F5688"/>
    <w:rsid w:val="002F5694"/>
    <w:rsid w:val="002F6B93"/>
    <w:rsid w:val="002F76C9"/>
    <w:rsid w:val="002F7890"/>
    <w:rsid w:val="002F7BEB"/>
    <w:rsid w:val="0030022E"/>
    <w:rsid w:val="00300271"/>
    <w:rsid w:val="003005B3"/>
    <w:rsid w:val="00301128"/>
    <w:rsid w:val="003018D0"/>
    <w:rsid w:val="00301DE8"/>
    <w:rsid w:val="00302C3B"/>
    <w:rsid w:val="003031CF"/>
    <w:rsid w:val="00303BF7"/>
    <w:rsid w:val="00303D79"/>
    <w:rsid w:val="00303EDD"/>
    <w:rsid w:val="00304596"/>
    <w:rsid w:val="00304651"/>
    <w:rsid w:val="00304CAC"/>
    <w:rsid w:val="00304DCD"/>
    <w:rsid w:val="003061B3"/>
    <w:rsid w:val="00306600"/>
    <w:rsid w:val="00306CBF"/>
    <w:rsid w:val="003076F1"/>
    <w:rsid w:val="00307A9E"/>
    <w:rsid w:val="003105F0"/>
    <w:rsid w:val="003111A8"/>
    <w:rsid w:val="00311629"/>
    <w:rsid w:val="0031181F"/>
    <w:rsid w:val="00312051"/>
    <w:rsid w:val="003120CB"/>
    <w:rsid w:val="00312205"/>
    <w:rsid w:val="0031236E"/>
    <w:rsid w:val="00312D04"/>
    <w:rsid w:val="00313787"/>
    <w:rsid w:val="00314244"/>
    <w:rsid w:val="003143AF"/>
    <w:rsid w:val="00314445"/>
    <w:rsid w:val="003148DE"/>
    <w:rsid w:val="00314F09"/>
    <w:rsid w:val="003155F2"/>
    <w:rsid w:val="00316092"/>
    <w:rsid w:val="00316697"/>
    <w:rsid w:val="00316AEA"/>
    <w:rsid w:val="00317A14"/>
    <w:rsid w:val="003200E1"/>
    <w:rsid w:val="0032046F"/>
    <w:rsid w:val="00320621"/>
    <w:rsid w:val="00320FE1"/>
    <w:rsid w:val="00321451"/>
    <w:rsid w:val="0032158B"/>
    <w:rsid w:val="00321768"/>
    <w:rsid w:val="00321E5A"/>
    <w:rsid w:val="00321E80"/>
    <w:rsid w:val="00322860"/>
    <w:rsid w:val="00322B4C"/>
    <w:rsid w:val="00322D31"/>
    <w:rsid w:val="00322F15"/>
    <w:rsid w:val="0032384C"/>
    <w:rsid w:val="00324028"/>
    <w:rsid w:val="00324121"/>
    <w:rsid w:val="0032413A"/>
    <w:rsid w:val="003249F9"/>
    <w:rsid w:val="00324DC1"/>
    <w:rsid w:val="00325252"/>
    <w:rsid w:val="00325556"/>
    <w:rsid w:val="00325E28"/>
    <w:rsid w:val="00326333"/>
    <w:rsid w:val="00326732"/>
    <w:rsid w:val="00326E8F"/>
    <w:rsid w:val="00327145"/>
    <w:rsid w:val="003275A6"/>
    <w:rsid w:val="003275B9"/>
    <w:rsid w:val="003307EF"/>
    <w:rsid w:val="003308D5"/>
    <w:rsid w:val="00330CF7"/>
    <w:rsid w:val="00331234"/>
    <w:rsid w:val="0033246B"/>
    <w:rsid w:val="00332DC3"/>
    <w:rsid w:val="003334AF"/>
    <w:rsid w:val="003335D5"/>
    <w:rsid w:val="003337E8"/>
    <w:rsid w:val="00334A52"/>
    <w:rsid w:val="00335FB7"/>
    <w:rsid w:val="00336015"/>
    <w:rsid w:val="003367FC"/>
    <w:rsid w:val="00336D20"/>
    <w:rsid w:val="00336F31"/>
    <w:rsid w:val="0034029A"/>
    <w:rsid w:val="003402B6"/>
    <w:rsid w:val="0034030E"/>
    <w:rsid w:val="003404A1"/>
    <w:rsid w:val="00340733"/>
    <w:rsid w:val="00340F93"/>
    <w:rsid w:val="00341085"/>
    <w:rsid w:val="00341B33"/>
    <w:rsid w:val="00341B8D"/>
    <w:rsid w:val="003439C9"/>
    <w:rsid w:val="00344C95"/>
    <w:rsid w:val="0034543B"/>
    <w:rsid w:val="00345561"/>
    <w:rsid w:val="003455D7"/>
    <w:rsid w:val="003458E7"/>
    <w:rsid w:val="0034687C"/>
    <w:rsid w:val="00347B16"/>
    <w:rsid w:val="003507CA"/>
    <w:rsid w:val="00350CE6"/>
    <w:rsid w:val="00351D3D"/>
    <w:rsid w:val="0035257A"/>
    <w:rsid w:val="0035261C"/>
    <w:rsid w:val="00352F02"/>
    <w:rsid w:val="0035434C"/>
    <w:rsid w:val="00354ED3"/>
    <w:rsid w:val="0035518A"/>
    <w:rsid w:val="0035533F"/>
    <w:rsid w:val="003556F7"/>
    <w:rsid w:val="00355AC1"/>
    <w:rsid w:val="00357290"/>
    <w:rsid w:val="00357456"/>
    <w:rsid w:val="003578C5"/>
    <w:rsid w:val="00357CA4"/>
    <w:rsid w:val="00357D30"/>
    <w:rsid w:val="003600C2"/>
    <w:rsid w:val="003604DA"/>
    <w:rsid w:val="00360D63"/>
    <w:rsid w:val="0036155B"/>
    <w:rsid w:val="003625DC"/>
    <w:rsid w:val="0036335D"/>
    <w:rsid w:val="00363AF6"/>
    <w:rsid w:val="00363D11"/>
    <w:rsid w:val="00365750"/>
    <w:rsid w:val="00365D2A"/>
    <w:rsid w:val="00366509"/>
    <w:rsid w:val="00366517"/>
    <w:rsid w:val="00366842"/>
    <w:rsid w:val="00367494"/>
    <w:rsid w:val="00367888"/>
    <w:rsid w:val="0036797F"/>
    <w:rsid w:val="00367ABA"/>
    <w:rsid w:val="003705D6"/>
    <w:rsid w:val="00370F52"/>
    <w:rsid w:val="003713FA"/>
    <w:rsid w:val="003714A7"/>
    <w:rsid w:val="00371782"/>
    <w:rsid w:val="00372869"/>
    <w:rsid w:val="00372C5A"/>
    <w:rsid w:val="00372E2A"/>
    <w:rsid w:val="00373470"/>
    <w:rsid w:val="00373536"/>
    <w:rsid w:val="00373711"/>
    <w:rsid w:val="0037375E"/>
    <w:rsid w:val="00374354"/>
    <w:rsid w:val="0037438B"/>
    <w:rsid w:val="003746AA"/>
    <w:rsid w:val="003746FD"/>
    <w:rsid w:val="003750A0"/>
    <w:rsid w:val="003751B7"/>
    <w:rsid w:val="00375AC7"/>
    <w:rsid w:val="003763F9"/>
    <w:rsid w:val="003766F5"/>
    <w:rsid w:val="00376767"/>
    <w:rsid w:val="00376D75"/>
    <w:rsid w:val="00376EB8"/>
    <w:rsid w:val="00376FE8"/>
    <w:rsid w:val="00377127"/>
    <w:rsid w:val="0037787C"/>
    <w:rsid w:val="00377EF3"/>
    <w:rsid w:val="003808FF"/>
    <w:rsid w:val="003809CB"/>
    <w:rsid w:val="00380AF4"/>
    <w:rsid w:val="00380C6E"/>
    <w:rsid w:val="00381AA0"/>
    <w:rsid w:val="003820DA"/>
    <w:rsid w:val="003821A4"/>
    <w:rsid w:val="00382456"/>
    <w:rsid w:val="0038248D"/>
    <w:rsid w:val="0038287C"/>
    <w:rsid w:val="00382B2F"/>
    <w:rsid w:val="00383209"/>
    <w:rsid w:val="00383592"/>
    <w:rsid w:val="0038379E"/>
    <w:rsid w:val="00383825"/>
    <w:rsid w:val="00383A02"/>
    <w:rsid w:val="003849DD"/>
    <w:rsid w:val="00384E1A"/>
    <w:rsid w:val="0038524E"/>
    <w:rsid w:val="003853FD"/>
    <w:rsid w:val="003863B6"/>
    <w:rsid w:val="0038645D"/>
    <w:rsid w:val="003868A9"/>
    <w:rsid w:val="00387F75"/>
    <w:rsid w:val="00390A43"/>
    <w:rsid w:val="003916E7"/>
    <w:rsid w:val="00391E62"/>
    <w:rsid w:val="003930C9"/>
    <w:rsid w:val="003936BC"/>
    <w:rsid w:val="003937A8"/>
    <w:rsid w:val="00393A55"/>
    <w:rsid w:val="00393AA2"/>
    <w:rsid w:val="00393C36"/>
    <w:rsid w:val="00394346"/>
    <w:rsid w:val="003945BD"/>
    <w:rsid w:val="003947E1"/>
    <w:rsid w:val="00395A09"/>
    <w:rsid w:val="00395ED8"/>
    <w:rsid w:val="00395FCE"/>
    <w:rsid w:val="00396F51"/>
    <w:rsid w:val="00396FEF"/>
    <w:rsid w:val="00397143"/>
    <w:rsid w:val="00397206"/>
    <w:rsid w:val="003974B5"/>
    <w:rsid w:val="003975C6"/>
    <w:rsid w:val="003A0142"/>
    <w:rsid w:val="003A08A3"/>
    <w:rsid w:val="003A0A83"/>
    <w:rsid w:val="003A0F30"/>
    <w:rsid w:val="003A16AF"/>
    <w:rsid w:val="003A21A7"/>
    <w:rsid w:val="003A221F"/>
    <w:rsid w:val="003A231D"/>
    <w:rsid w:val="003A34DD"/>
    <w:rsid w:val="003A3676"/>
    <w:rsid w:val="003A3A88"/>
    <w:rsid w:val="003A41EB"/>
    <w:rsid w:val="003A4613"/>
    <w:rsid w:val="003A4CD6"/>
    <w:rsid w:val="003A4D41"/>
    <w:rsid w:val="003A5088"/>
    <w:rsid w:val="003A58EF"/>
    <w:rsid w:val="003A6448"/>
    <w:rsid w:val="003A7595"/>
    <w:rsid w:val="003B0137"/>
    <w:rsid w:val="003B01F7"/>
    <w:rsid w:val="003B0CCA"/>
    <w:rsid w:val="003B25D7"/>
    <w:rsid w:val="003B29FC"/>
    <w:rsid w:val="003B34DD"/>
    <w:rsid w:val="003B37AE"/>
    <w:rsid w:val="003B37F3"/>
    <w:rsid w:val="003B3BC8"/>
    <w:rsid w:val="003B408F"/>
    <w:rsid w:val="003B52AD"/>
    <w:rsid w:val="003B635D"/>
    <w:rsid w:val="003B6882"/>
    <w:rsid w:val="003B6C0F"/>
    <w:rsid w:val="003B6F77"/>
    <w:rsid w:val="003B713E"/>
    <w:rsid w:val="003B761C"/>
    <w:rsid w:val="003B7884"/>
    <w:rsid w:val="003B7921"/>
    <w:rsid w:val="003C0332"/>
    <w:rsid w:val="003C0432"/>
    <w:rsid w:val="003C08EE"/>
    <w:rsid w:val="003C1121"/>
    <w:rsid w:val="003C1531"/>
    <w:rsid w:val="003C335B"/>
    <w:rsid w:val="003C3571"/>
    <w:rsid w:val="003C3AD0"/>
    <w:rsid w:val="003C4836"/>
    <w:rsid w:val="003C5AC2"/>
    <w:rsid w:val="003C6EAF"/>
    <w:rsid w:val="003C726C"/>
    <w:rsid w:val="003C735E"/>
    <w:rsid w:val="003C76FA"/>
    <w:rsid w:val="003D0108"/>
    <w:rsid w:val="003D0936"/>
    <w:rsid w:val="003D11CC"/>
    <w:rsid w:val="003D16E5"/>
    <w:rsid w:val="003D18D1"/>
    <w:rsid w:val="003D1A1F"/>
    <w:rsid w:val="003D1BC4"/>
    <w:rsid w:val="003D2A6F"/>
    <w:rsid w:val="003D2CA9"/>
    <w:rsid w:val="003D2D6C"/>
    <w:rsid w:val="003D3324"/>
    <w:rsid w:val="003D3EC9"/>
    <w:rsid w:val="003D4AA7"/>
    <w:rsid w:val="003D5C77"/>
    <w:rsid w:val="003D5C83"/>
    <w:rsid w:val="003D6729"/>
    <w:rsid w:val="003D6843"/>
    <w:rsid w:val="003D702D"/>
    <w:rsid w:val="003D7342"/>
    <w:rsid w:val="003D7C15"/>
    <w:rsid w:val="003D7EC1"/>
    <w:rsid w:val="003D7FE5"/>
    <w:rsid w:val="003E137A"/>
    <w:rsid w:val="003E1B0C"/>
    <w:rsid w:val="003E23AD"/>
    <w:rsid w:val="003E24CC"/>
    <w:rsid w:val="003E2B1B"/>
    <w:rsid w:val="003E342F"/>
    <w:rsid w:val="003E3FD6"/>
    <w:rsid w:val="003E4249"/>
    <w:rsid w:val="003E43A8"/>
    <w:rsid w:val="003E4643"/>
    <w:rsid w:val="003E55A1"/>
    <w:rsid w:val="003E582C"/>
    <w:rsid w:val="003E59C1"/>
    <w:rsid w:val="003E59D0"/>
    <w:rsid w:val="003E5C71"/>
    <w:rsid w:val="003E5CE8"/>
    <w:rsid w:val="003E61BC"/>
    <w:rsid w:val="003E6642"/>
    <w:rsid w:val="003E6808"/>
    <w:rsid w:val="003E7AAB"/>
    <w:rsid w:val="003F058E"/>
    <w:rsid w:val="003F05E7"/>
    <w:rsid w:val="003F0C29"/>
    <w:rsid w:val="003F1981"/>
    <w:rsid w:val="003F1BE0"/>
    <w:rsid w:val="003F1F93"/>
    <w:rsid w:val="003F221F"/>
    <w:rsid w:val="003F222A"/>
    <w:rsid w:val="003F2363"/>
    <w:rsid w:val="003F2C1F"/>
    <w:rsid w:val="003F2D80"/>
    <w:rsid w:val="003F3A18"/>
    <w:rsid w:val="003F4114"/>
    <w:rsid w:val="003F4611"/>
    <w:rsid w:val="003F49D5"/>
    <w:rsid w:val="003F4C29"/>
    <w:rsid w:val="003F4F8F"/>
    <w:rsid w:val="003F50CA"/>
    <w:rsid w:val="003F50ED"/>
    <w:rsid w:val="003F52FF"/>
    <w:rsid w:val="003F540E"/>
    <w:rsid w:val="003F5927"/>
    <w:rsid w:val="003F59A9"/>
    <w:rsid w:val="003F66D5"/>
    <w:rsid w:val="003F6F29"/>
    <w:rsid w:val="003F71C6"/>
    <w:rsid w:val="003F7C1A"/>
    <w:rsid w:val="0040027C"/>
    <w:rsid w:val="00400FFF"/>
    <w:rsid w:val="0040251E"/>
    <w:rsid w:val="004025F9"/>
    <w:rsid w:val="0040264A"/>
    <w:rsid w:val="004027A8"/>
    <w:rsid w:val="00402B6E"/>
    <w:rsid w:val="00402F67"/>
    <w:rsid w:val="004037BF"/>
    <w:rsid w:val="00403919"/>
    <w:rsid w:val="00404718"/>
    <w:rsid w:val="00404D75"/>
    <w:rsid w:val="00404EC2"/>
    <w:rsid w:val="00404FDE"/>
    <w:rsid w:val="00405394"/>
    <w:rsid w:val="0040592D"/>
    <w:rsid w:val="00407437"/>
    <w:rsid w:val="00410AF0"/>
    <w:rsid w:val="00412A9B"/>
    <w:rsid w:val="00412D35"/>
    <w:rsid w:val="0041307F"/>
    <w:rsid w:val="004134E6"/>
    <w:rsid w:val="00413A5D"/>
    <w:rsid w:val="00413B11"/>
    <w:rsid w:val="004144D7"/>
    <w:rsid w:val="004145F7"/>
    <w:rsid w:val="00414940"/>
    <w:rsid w:val="0041548F"/>
    <w:rsid w:val="00415B50"/>
    <w:rsid w:val="00415D2F"/>
    <w:rsid w:val="00415EFF"/>
    <w:rsid w:val="004160BD"/>
    <w:rsid w:val="004161C3"/>
    <w:rsid w:val="00416975"/>
    <w:rsid w:val="00416BBA"/>
    <w:rsid w:val="00416DF8"/>
    <w:rsid w:val="00417113"/>
    <w:rsid w:val="0041750C"/>
    <w:rsid w:val="004204C3"/>
    <w:rsid w:val="00420635"/>
    <w:rsid w:val="00420FA1"/>
    <w:rsid w:val="00420FB3"/>
    <w:rsid w:val="00421420"/>
    <w:rsid w:val="00421E92"/>
    <w:rsid w:val="004222D2"/>
    <w:rsid w:val="0042286E"/>
    <w:rsid w:val="00422DCD"/>
    <w:rsid w:val="00422F39"/>
    <w:rsid w:val="00423FE8"/>
    <w:rsid w:val="0042469A"/>
    <w:rsid w:val="00424BE3"/>
    <w:rsid w:val="0042517F"/>
    <w:rsid w:val="004254FD"/>
    <w:rsid w:val="004255F8"/>
    <w:rsid w:val="0042562A"/>
    <w:rsid w:val="00425B01"/>
    <w:rsid w:val="00425D4F"/>
    <w:rsid w:val="00426510"/>
    <w:rsid w:val="00426B8E"/>
    <w:rsid w:val="00426ECC"/>
    <w:rsid w:val="0042751D"/>
    <w:rsid w:val="00427630"/>
    <w:rsid w:val="00427740"/>
    <w:rsid w:val="00430100"/>
    <w:rsid w:val="00430449"/>
    <w:rsid w:val="00431654"/>
    <w:rsid w:val="004319F2"/>
    <w:rsid w:val="00431AD6"/>
    <w:rsid w:val="0043225F"/>
    <w:rsid w:val="00432CAA"/>
    <w:rsid w:val="0043390C"/>
    <w:rsid w:val="00433AA5"/>
    <w:rsid w:val="00433B07"/>
    <w:rsid w:val="00434A98"/>
    <w:rsid w:val="00434CF7"/>
    <w:rsid w:val="004351D2"/>
    <w:rsid w:val="004351FE"/>
    <w:rsid w:val="004359F9"/>
    <w:rsid w:val="00435D4D"/>
    <w:rsid w:val="0043620F"/>
    <w:rsid w:val="004366B8"/>
    <w:rsid w:val="00437985"/>
    <w:rsid w:val="00437AEA"/>
    <w:rsid w:val="00437E9D"/>
    <w:rsid w:val="004402C4"/>
    <w:rsid w:val="0044043B"/>
    <w:rsid w:val="00440682"/>
    <w:rsid w:val="004410ED"/>
    <w:rsid w:val="00441985"/>
    <w:rsid w:val="00441BD7"/>
    <w:rsid w:val="00442362"/>
    <w:rsid w:val="00442FEE"/>
    <w:rsid w:val="0044323C"/>
    <w:rsid w:val="004432BC"/>
    <w:rsid w:val="00443374"/>
    <w:rsid w:val="004434D1"/>
    <w:rsid w:val="00443FAD"/>
    <w:rsid w:val="0044413A"/>
    <w:rsid w:val="00444819"/>
    <w:rsid w:val="00444C35"/>
    <w:rsid w:val="004451E3"/>
    <w:rsid w:val="00445341"/>
    <w:rsid w:val="00445D39"/>
    <w:rsid w:val="004466CF"/>
    <w:rsid w:val="004476DA"/>
    <w:rsid w:val="00447842"/>
    <w:rsid w:val="004502D5"/>
    <w:rsid w:val="00450AC0"/>
    <w:rsid w:val="00451207"/>
    <w:rsid w:val="0045152E"/>
    <w:rsid w:val="004515E7"/>
    <w:rsid w:val="0045179B"/>
    <w:rsid w:val="004517B5"/>
    <w:rsid w:val="00451966"/>
    <w:rsid w:val="004519F7"/>
    <w:rsid w:val="004521D0"/>
    <w:rsid w:val="00452AE4"/>
    <w:rsid w:val="004546B8"/>
    <w:rsid w:val="00455230"/>
    <w:rsid w:val="00455688"/>
    <w:rsid w:val="00455D6B"/>
    <w:rsid w:val="00455DE6"/>
    <w:rsid w:val="00456BBC"/>
    <w:rsid w:val="0045729A"/>
    <w:rsid w:val="004572C2"/>
    <w:rsid w:val="00457682"/>
    <w:rsid w:val="004603D6"/>
    <w:rsid w:val="00460AE9"/>
    <w:rsid w:val="00461062"/>
    <w:rsid w:val="00461351"/>
    <w:rsid w:val="00461747"/>
    <w:rsid w:val="00462021"/>
    <w:rsid w:val="00462263"/>
    <w:rsid w:val="0046258E"/>
    <w:rsid w:val="00462971"/>
    <w:rsid w:val="00463D1C"/>
    <w:rsid w:val="004642D7"/>
    <w:rsid w:val="004646E6"/>
    <w:rsid w:val="0046476C"/>
    <w:rsid w:val="00464EEE"/>
    <w:rsid w:val="0046502A"/>
    <w:rsid w:val="00466C36"/>
    <w:rsid w:val="00467A7D"/>
    <w:rsid w:val="0047043B"/>
    <w:rsid w:val="004704D7"/>
    <w:rsid w:val="004718AE"/>
    <w:rsid w:val="00471A85"/>
    <w:rsid w:val="00471B98"/>
    <w:rsid w:val="004720E8"/>
    <w:rsid w:val="004728F7"/>
    <w:rsid w:val="00472D26"/>
    <w:rsid w:val="00473382"/>
    <w:rsid w:val="004735E0"/>
    <w:rsid w:val="00473B11"/>
    <w:rsid w:val="004746E0"/>
    <w:rsid w:val="00474A69"/>
    <w:rsid w:val="00474B53"/>
    <w:rsid w:val="00475B9B"/>
    <w:rsid w:val="00476014"/>
    <w:rsid w:val="00476410"/>
    <w:rsid w:val="00476E6C"/>
    <w:rsid w:val="0047734E"/>
    <w:rsid w:val="004779DB"/>
    <w:rsid w:val="00477DB8"/>
    <w:rsid w:val="00480787"/>
    <w:rsid w:val="00480C2E"/>
    <w:rsid w:val="00480E3C"/>
    <w:rsid w:val="00481278"/>
    <w:rsid w:val="004812B3"/>
    <w:rsid w:val="004844B8"/>
    <w:rsid w:val="004845F4"/>
    <w:rsid w:val="00484F66"/>
    <w:rsid w:val="0048561D"/>
    <w:rsid w:val="00486555"/>
    <w:rsid w:val="00486A7A"/>
    <w:rsid w:val="00486AFF"/>
    <w:rsid w:val="004874B4"/>
    <w:rsid w:val="004877E3"/>
    <w:rsid w:val="0049046E"/>
    <w:rsid w:val="00490AA6"/>
    <w:rsid w:val="00490C32"/>
    <w:rsid w:val="00492188"/>
    <w:rsid w:val="00492B9F"/>
    <w:rsid w:val="00492E5F"/>
    <w:rsid w:val="0049394C"/>
    <w:rsid w:val="00493A0F"/>
    <w:rsid w:val="004941F5"/>
    <w:rsid w:val="004943EE"/>
    <w:rsid w:val="00494A2F"/>
    <w:rsid w:val="00495A6E"/>
    <w:rsid w:val="00496133"/>
    <w:rsid w:val="00496620"/>
    <w:rsid w:val="0049674D"/>
    <w:rsid w:val="0049703E"/>
    <w:rsid w:val="00497330"/>
    <w:rsid w:val="004974DD"/>
    <w:rsid w:val="004977B6"/>
    <w:rsid w:val="00497A46"/>
    <w:rsid w:val="00497C47"/>
    <w:rsid w:val="00497EF7"/>
    <w:rsid w:val="00497F96"/>
    <w:rsid w:val="004A019A"/>
    <w:rsid w:val="004A062F"/>
    <w:rsid w:val="004A10E6"/>
    <w:rsid w:val="004A1A63"/>
    <w:rsid w:val="004A29E6"/>
    <w:rsid w:val="004A386E"/>
    <w:rsid w:val="004A3943"/>
    <w:rsid w:val="004A41BF"/>
    <w:rsid w:val="004A425F"/>
    <w:rsid w:val="004A4273"/>
    <w:rsid w:val="004A498F"/>
    <w:rsid w:val="004A4D9F"/>
    <w:rsid w:val="004A5018"/>
    <w:rsid w:val="004A53B7"/>
    <w:rsid w:val="004A58D7"/>
    <w:rsid w:val="004A59BA"/>
    <w:rsid w:val="004A5EA7"/>
    <w:rsid w:val="004A6C0B"/>
    <w:rsid w:val="004A6DDB"/>
    <w:rsid w:val="004A7436"/>
    <w:rsid w:val="004A765C"/>
    <w:rsid w:val="004A778A"/>
    <w:rsid w:val="004A7D8C"/>
    <w:rsid w:val="004A7F15"/>
    <w:rsid w:val="004B0657"/>
    <w:rsid w:val="004B123F"/>
    <w:rsid w:val="004B1633"/>
    <w:rsid w:val="004B163C"/>
    <w:rsid w:val="004B2075"/>
    <w:rsid w:val="004B231F"/>
    <w:rsid w:val="004B243E"/>
    <w:rsid w:val="004B2D2C"/>
    <w:rsid w:val="004B46DA"/>
    <w:rsid w:val="004B4B21"/>
    <w:rsid w:val="004B534F"/>
    <w:rsid w:val="004B55C1"/>
    <w:rsid w:val="004B56A6"/>
    <w:rsid w:val="004B56E0"/>
    <w:rsid w:val="004B598B"/>
    <w:rsid w:val="004B5C8D"/>
    <w:rsid w:val="004B6070"/>
    <w:rsid w:val="004B62AB"/>
    <w:rsid w:val="004B6717"/>
    <w:rsid w:val="004B6C17"/>
    <w:rsid w:val="004B7574"/>
    <w:rsid w:val="004B7783"/>
    <w:rsid w:val="004C08CF"/>
    <w:rsid w:val="004C0E55"/>
    <w:rsid w:val="004C186E"/>
    <w:rsid w:val="004C1D5A"/>
    <w:rsid w:val="004C2142"/>
    <w:rsid w:val="004C2AA9"/>
    <w:rsid w:val="004C2C0B"/>
    <w:rsid w:val="004C328F"/>
    <w:rsid w:val="004C40F5"/>
    <w:rsid w:val="004C42A4"/>
    <w:rsid w:val="004C4ADA"/>
    <w:rsid w:val="004C4BBD"/>
    <w:rsid w:val="004C5854"/>
    <w:rsid w:val="004C5F2D"/>
    <w:rsid w:val="004C62E5"/>
    <w:rsid w:val="004C66D6"/>
    <w:rsid w:val="004C680F"/>
    <w:rsid w:val="004C6A1D"/>
    <w:rsid w:val="004C6A5E"/>
    <w:rsid w:val="004C7ACA"/>
    <w:rsid w:val="004C7C90"/>
    <w:rsid w:val="004C7FBB"/>
    <w:rsid w:val="004D0278"/>
    <w:rsid w:val="004D0CE2"/>
    <w:rsid w:val="004D0D09"/>
    <w:rsid w:val="004D15F6"/>
    <w:rsid w:val="004D1981"/>
    <w:rsid w:val="004D236B"/>
    <w:rsid w:val="004D2EED"/>
    <w:rsid w:val="004D3177"/>
    <w:rsid w:val="004D391C"/>
    <w:rsid w:val="004D3C4A"/>
    <w:rsid w:val="004D4A36"/>
    <w:rsid w:val="004D4A6B"/>
    <w:rsid w:val="004D4ECB"/>
    <w:rsid w:val="004D5446"/>
    <w:rsid w:val="004D58AE"/>
    <w:rsid w:val="004D5D7B"/>
    <w:rsid w:val="004D67E9"/>
    <w:rsid w:val="004D69D3"/>
    <w:rsid w:val="004D721C"/>
    <w:rsid w:val="004D7BF8"/>
    <w:rsid w:val="004E0266"/>
    <w:rsid w:val="004E02B3"/>
    <w:rsid w:val="004E0BDA"/>
    <w:rsid w:val="004E0F76"/>
    <w:rsid w:val="004E10B6"/>
    <w:rsid w:val="004E12D4"/>
    <w:rsid w:val="004E172D"/>
    <w:rsid w:val="004E17DA"/>
    <w:rsid w:val="004E17E2"/>
    <w:rsid w:val="004E1944"/>
    <w:rsid w:val="004E1C64"/>
    <w:rsid w:val="004E1D9E"/>
    <w:rsid w:val="004E2B18"/>
    <w:rsid w:val="004E3046"/>
    <w:rsid w:val="004E3190"/>
    <w:rsid w:val="004E3403"/>
    <w:rsid w:val="004E39ED"/>
    <w:rsid w:val="004E3B44"/>
    <w:rsid w:val="004E3E06"/>
    <w:rsid w:val="004E52D3"/>
    <w:rsid w:val="004E60FC"/>
    <w:rsid w:val="004E6460"/>
    <w:rsid w:val="004E6640"/>
    <w:rsid w:val="004E7247"/>
    <w:rsid w:val="004E733B"/>
    <w:rsid w:val="004E7902"/>
    <w:rsid w:val="004F03C6"/>
    <w:rsid w:val="004F0922"/>
    <w:rsid w:val="004F1261"/>
    <w:rsid w:val="004F194B"/>
    <w:rsid w:val="004F2185"/>
    <w:rsid w:val="004F21A0"/>
    <w:rsid w:val="004F21FD"/>
    <w:rsid w:val="004F2441"/>
    <w:rsid w:val="004F331D"/>
    <w:rsid w:val="004F3652"/>
    <w:rsid w:val="004F3F9F"/>
    <w:rsid w:val="004F45F4"/>
    <w:rsid w:val="004F4F3F"/>
    <w:rsid w:val="004F543E"/>
    <w:rsid w:val="004F5E68"/>
    <w:rsid w:val="004F648B"/>
    <w:rsid w:val="004F6501"/>
    <w:rsid w:val="004F7280"/>
    <w:rsid w:val="004F7E31"/>
    <w:rsid w:val="00500D0C"/>
    <w:rsid w:val="00500DFA"/>
    <w:rsid w:val="00501131"/>
    <w:rsid w:val="00501533"/>
    <w:rsid w:val="00501BFE"/>
    <w:rsid w:val="00501C3E"/>
    <w:rsid w:val="00502507"/>
    <w:rsid w:val="0050312F"/>
    <w:rsid w:val="0050446E"/>
    <w:rsid w:val="0050460F"/>
    <w:rsid w:val="0050465C"/>
    <w:rsid w:val="00504AB2"/>
    <w:rsid w:val="00507084"/>
    <w:rsid w:val="00507976"/>
    <w:rsid w:val="005079A0"/>
    <w:rsid w:val="00507A81"/>
    <w:rsid w:val="00507B30"/>
    <w:rsid w:val="00507B5B"/>
    <w:rsid w:val="00507EAB"/>
    <w:rsid w:val="005100E6"/>
    <w:rsid w:val="00510307"/>
    <w:rsid w:val="0051060F"/>
    <w:rsid w:val="00510EE9"/>
    <w:rsid w:val="005119FB"/>
    <w:rsid w:val="00511BE3"/>
    <w:rsid w:val="005128BD"/>
    <w:rsid w:val="0051419C"/>
    <w:rsid w:val="00514A28"/>
    <w:rsid w:val="00514B35"/>
    <w:rsid w:val="00515874"/>
    <w:rsid w:val="00515921"/>
    <w:rsid w:val="00515A14"/>
    <w:rsid w:val="005160C2"/>
    <w:rsid w:val="005168F4"/>
    <w:rsid w:val="00516913"/>
    <w:rsid w:val="00516AA2"/>
    <w:rsid w:val="00516DD9"/>
    <w:rsid w:val="00516F90"/>
    <w:rsid w:val="00517258"/>
    <w:rsid w:val="00517580"/>
    <w:rsid w:val="005203B1"/>
    <w:rsid w:val="00520C38"/>
    <w:rsid w:val="00521EE7"/>
    <w:rsid w:val="00521FDC"/>
    <w:rsid w:val="00523077"/>
    <w:rsid w:val="005232C3"/>
    <w:rsid w:val="005235A6"/>
    <w:rsid w:val="00523DF6"/>
    <w:rsid w:val="00524092"/>
    <w:rsid w:val="00524639"/>
    <w:rsid w:val="0052468B"/>
    <w:rsid w:val="005246D0"/>
    <w:rsid w:val="005248FC"/>
    <w:rsid w:val="00524D1E"/>
    <w:rsid w:val="005255B9"/>
    <w:rsid w:val="005258CE"/>
    <w:rsid w:val="00526682"/>
    <w:rsid w:val="00526A7F"/>
    <w:rsid w:val="0052722A"/>
    <w:rsid w:val="005273E3"/>
    <w:rsid w:val="005275CB"/>
    <w:rsid w:val="00527CC9"/>
    <w:rsid w:val="00530233"/>
    <w:rsid w:val="005304B3"/>
    <w:rsid w:val="00530D68"/>
    <w:rsid w:val="00531096"/>
    <w:rsid w:val="00531ADF"/>
    <w:rsid w:val="00531D15"/>
    <w:rsid w:val="0053267A"/>
    <w:rsid w:val="00532FA1"/>
    <w:rsid w:val="005346DB"/>
    <w:rsid w:val="00534859"/>
    <w:rsid w:val="00534EA5"/>
    <w:rsid w:val="005363A1"/>
    <w:rsid w:val="005364AD"/>
    <w:rsid w:val="0053678A"/>
    <w:rsid w:val="00536951"/>
    <w:rsid w:val="00537870"/>
    <w:rsid w:val="00537B71"/>
    <w:rsid w:val="005404C8"/>
    <w:rsid w:val="00540510"/>
    <w:rsid w:val="005416C5"/>
    <w:rsid w:val="00541D61"/>
    <w:rsid w:val="00542592"/>
    <w:rsid w:val="00542819"/>
    <w:rsid w:val="00542946"/>
    <w:rsid w:val="0054392C"/>
    <w:rsid w:val="00543FBA"/>
    <w:rsid w:val="005442DF"/>
    <w:rsid w:val="00545321"/>
    <w:rsid w:val="00545739"/>
    <w:rsid w:val="00545824"/>
    <w:rsid w:val="005458E1"/>
    <w:rsid w:val="00545B41"/>
    <w:rsid w:val="00545E2D"/>
    <w:rsid w:val="00547445"/>
    <w:rsid w:val="00547790"/>
    <w:rsid w:val="00550099"/>
    <w:rsid w:val="00550D9D"/>
    <w:rsid w:val="00552492"/>
    <w:rsid w:val="005526E4"/>
    <w:rsid w:val="005527A4"/>
    <w:rsid w:val="00552AC4"/>
    <w:rsid w:val="00552B11"/>
    <w:rsid w:val="00552D01"/>
    <w:rsid w:val="00553865"/>
    <w:rsid w:val="00553BCF"/>
    <w:rsid w:val="00553FC7"/>
    <w:rsid w:val="00553FF0"/>
    <w:rsid w:val="005544AB"/>
    <w:rsid w:val="00554607"/>
    <w:rsid w:val="00554F16"/>
    <w:rsid w:val="0055536A"/>
    <w:rsid w:val="005554AE"/>
    <w:rsid w:val="00555AEC"/>
    <w:rsid w:val="005561CA"/>
    <w:rsid w:val="0055624A"/>
    <w:rsid w:val="00556BB2"/>
    <w:rsid w:val="00556C64"/>
    <w:rsid w:val="005576BB"/>
    <w:rsid w:val="00557FF2"/>
    <w:rsid w:val="00560F62"/>
    <w:rsid w:val="005610AC"/>
    <w:rsid w:val="005611FE"/>
    <w:rsid w:val="00562127"/>
    <w:rsid w:val="005624A1"/>
    <w:rsid w:val="00562BDB"/>
    <w:rsid w:val="00563139"/>
    <w:rsid w:val="0056313A"/>
    <w:rsid w:val="00563452"/>
    <w:rsid w:val="00563D61"/>
    <w:rsid w:val="00564353"/>
    <w:rsid w:val="00564395"/>
    <w:rsid w:val="0056459E"/>
    <w:rsid w:val="00564B35"/>
    <w:rsid w:val="00564C46"/>
    <w:rsid w:val="00564C68"/>
    <w:rsid w:val="00564FDA"/>
    <w:rsid w:val="0056528D"/>
    <w:rsid w:val="0056554B"/>
    <w:rsid w:val="00565838"/>
    <w:rsid w:val="00565CA3"/>
    <w:rsid w:val="00565DBA"/>
    <w:rsid w:val="00566ACD"/>
    <w:rsid w:val="00567104"/>
    <w:rsid w:val="005705BF"/>
    <w:rsid w:val="00570744"/>
    <w:rsid w:val="00570B7E"/>
    <w:rsid w:val="00570BAE"/>
    <w:rsid w:val="00570C3E"/>
    <w:rsid w:val="00570E4B"/>
    <w:rsid w:val="005711CD"/>
    <w:rsid w:val="00571631"/>
    <w:rsid w:val="0057173B"/>
    <w:rsid w:val="00571EE9"/>
    <w:rsid w:val="0057209D"/>
    <w:rsid w:val="005722C2"/>
    <w:rsid w:val="00572432"/>
    <w:rsid w:val="0057264D"/>
    <w:rsid w:val="00572AE1"/>
    <w:rsid w:val="005730DC"/>
    <w:rsid w:val="0057326D"/>
    <w:rsid w:val="0057383F"/>
    <w:rsid w:val="00574398"/>
    <w:rsid w:val="005745F8"/>
    <w:rsid w:val="00574EA0"/>
    <w:rsid w:val="00575B1D"/>
    <w:rsid w:val="00575EB3"/>
    <w:rsid w:val="0057601E"/>
    <w:rsid w:val="00577346"/>
    <w:rsid w:val="005774FB"/>
    <w:rsid w:val="00577889"/>
    <w:rsid w:val="00577B6B"/>
    <w:rsid w:val="0058015D"/>
    <w:rsid w:val="00580402"/>
    <w:rsid w:val="00581D25"/>
    <w:rsid w:val="005826C8"/>
    <w:rsid w:val="00583A9D"/>
    <w:rsid w:val="00583FC4"/>
    <w:rsid w:val="00584183"/>
    <w:rsid w:val="0058465D"/>
    <w:rsid w:val="00584F1E"/>
    <w:rsid w:val="0058500F"/>
    <w:rsid w:val="0058534C"/>
    <w:rsid w:val="00585CBF"/>
    <w:rsid w:val="005868D4"/>
    <w:rsid w:val="005874D0"/>
    <w:rsid w:val="0058772A"/>
    <w:rsid w:val="00587F52"/>
    <w:rsid w:val="00590235"/>
    <w:rsid w:val="00590CFA"/>
    <w:rsid w:val="00592A15"/>
    <w:rsid w:val="00592C73"/>
    <w:rsid w:val="00592D92"/>
    <w:rsid w:val="0059306C"/>
    <w:rsid w:val="00593725"/>
    <w:rsid w:val="005938E7"/>
    <w:rsid w:val="00593D51"/>
    <w:rsid w:val="00593F10"/>
    <w:rsid w:val="00593F5E"/>
    <w:rsid w:val="005941FD"/>
    <w:rsid w:val="00594421"/>
    <w:rsid w:val="005947A9"/>
    <w:rsid w:val="005953BD"/>
    <w:rsid w:val="00596739"/>
    <w:rsid w:val="00596F6C"/>
    <w:rsid w:val="00597319"/>
    <w:rsid w:val="00597C4D"/>
    <w:rsid w:val="005A0598"/>
    <w:rsid w:val="005A09EA"/>
    <w:rsid w:val="005A0BC1"/>
    <w:rsid w:val="005A0FAC"/>
    <w:rsid w:val="005A310D"/>
    <w:rsid w:val="005A32E8"/>
    <w:rsid w:val="005A3AB6"/>
    <w:rsid w:val="005A3AF8"/>
    <w:rsid w:val="005A3D95"/>
    <w:rsid w:val="005A3F62"/>
    <w:rsid w:val="005A44CD"/>
    <w:rsid w:val="005A5C6B"/>
    <w:rsid w:val="005A5FE1"/>
    <w:rsid w:val="005A65DA"/>
    <w:rsid w:val="005A69E1"/>
    <w:rsid w:val="005A7646"/>
    <w:rsid w:val="005A76B3"/>
    <w:rsid w:val="005A79FE"/>
    <w:rsid w:val="005A7A5A"/>
    <w:rsid w:val="005B005C"/>
    <w:rsid w:val="005B02BA"/>
    <w:rsid w:val="005B08BE"/>
    <w:rsid w:val="005B0B8B"/>
    <w:rsid w:val="005B0D3C"/>
    <w:rsid w:val="005B11DA"/>
    <w:rsid w:val="005B1661"/>
    <w:rsid w:val="005B187F"/>
    <w:rsid w:val="005B18C1"/>
    <w:rsid w:val="005B1B03"/>
    <w:rsid w:val="005B2309"/>
    <w:rsid w:val="005B2647"/>
    <w:rsid w:val="005B2B09"/>
    <w:rsid w:val="005B2B4B"/>
    <w:rsid w:val="005B309E"/>
    <w:rsid w:val="005B52F2"/>
    <w:rsid w:val="005B57B7"/>
    <w:rsid w:val="005B57E8"/>
    <w:rsid w:val="005B597D"/>
    <w:rsid w:val="005B6781"/>
    <w:rsid w:val="005B6E84"/>
    <w:rsid w:val="005B721C"/>
    <w:rsid w:val="005B7A81"/>
    <w:rsid w:val="005B7B2B"/>
    <w:rsid w:val="005B7BC5"/>
    <w:rsid w:val="005C0D6E"/>
    <w:rsid w:val="005C1066"/>
    <w:rsid w:val="005C3731"/>
    <w:rsid w:val="005C399B"/>
    <w:rsid w:val="005C39AF"/>
    <w:rsid w:val="005C3B69"/>
    <w:rsid w:val="005C41E5"/>
    <w:rsid w:val="005C42B4"/>
    <w:rsid w:val="005C4686"/>
    <w:rsid w:val="005C46F0"/>
    <w:rsid w:val="005C4883"/>
    <w:rsid w:val="005C4AEB"/>
    <w:rsid w:val="005C4E28"/>
    <w:rsid w:val="005C5153"/>
    <w:rsid w:val="005C5A18"/>
    <w:rsid w:val="005C5FA7"/>
    <w:rsid w:val="005C629B"/>
    <w:rsid w:val="005C641B"/>
    <w:rsid w:val="005C647F"/>
    <w:rsid w:val="005C7097"/>
    <w:rsid w:val="005C70EA"/>
    <w:rsid w:val="005C7329"/>
    <w:rsid w:val="005C743D"/>
    <w:rsid w:val="005C7E85"/>
    <w:rsid w:val="005D07E3"/>
    <w:rsid w:val="005D09AC"/>
    <w:rsid w:val="005D0B03"/>
    <w:rsid w:val="005D1729"/>
    <w:rsid w:val="005D199D"/>
    <w:rsid w:val="005D19F0"/>
    <w:rsid w:val="005D1A1F"/>
    <w:rsid w:val="005D2340"/>
    <w:rsid w:val="005D269D"/>
    <w:rsid w:val="005D295F"/>
    <w:rsid w:val="005D2C8B"/>
    <w:rsid w:val="005D37BD"/>
    <w:rsid w:val="005D3E0A"/>
    <w:rsid w:val="005D4447"/>
    <w:rsid w:val="005D4AED"/>
    <w:rsid w:val="005D5250"/>
    <w:rsid w:val="005D57A8"/>
    <w:rsid w:val="005D6015"/>
    <w:rsid w:val="005D621A"/>
    <w:rsid w:val="005D6481"/>
    <w:rsid w:val="005D7E8A"/>
    <w:rsid w:val="005E010D"/>
    <w:rsid w:val="005E1B3E"/>
    <w:rsid w:val="005E1BAC"/>
    <w:rsid w:val="005E1CC5"/>
    <w:rsid w:val="005E2463"/>
    <w:rsid w:val="005E320C"/>
    <w:rsid w:val="005E3514"/>
    <w:rsid w:val="005E3DB5"/>
    <w:rsid w:val="005E3F3B"/>
    <w:rsid w:val="005E3F9F"/>
    <w:rsid w:val="005E4601"/>
    <w:rsid w:val="005E4D54"/>
    <w:rsid w:val="005E52C7"/>
    <w:rsid w:val="005E59D0"/>
    <w:rsid w:val="005E63BB"/>
    <w:rsid w:val="005E6617"/>
    <w:rsid w:val="005E6F8A"/>
    <w:rsid w:val="005E7221"/>
    <w:rsid w:val="005E783F"/>
    <w:rsid w:val="005F00D6"/>
    <w:rsid w:val="005F04C1"/>
    <w:rsid w:val="005F06D6"/>
    <w:rsid w:val="005F0C7E"/>
    <w:rsid w:val="005F0DF2"/>
    <w:rsid w:val="005F17BB"/>
    <w:rsid w:val="005F1991"/>
    <w:rsid w:val="005F2199"/>
    <w:rsid w:val="005F2F7C"/>
    <w:rsid w:val="005F46A4"/>
    <w:rsid w:val="005F5323"/>
    <w:rsid w:val="005F57FA"/>
    <w:rsid w:val="005F63EB"/>
    <w:rsid w:val="005F640B"/>
    <w:rsid w:val="005F68CB"/>
    <w:rsid w:val="005F6B9C"/>
    <w:rsid w:val="005F7AF5"/>
    <w:rsid w:val="00600477"/>
    <w:rsid w:val="00600EB6"/>
    <w:rsid w:val="0060118F"/>
    <w:rsid w:val="006013A2"/>
    <w:rsid w:val="00601588"/>
    <w:rsid w:val="00601971"/>
    <w:rsid w:val="0060230A"/>
    <w:rsid w:val="006023BD"/>
    <w:rsid w:val="006034C2"/>
    <w:rsid w:val="006055C8"/>
    <w:rsid w:val="00605C34"/>
    <w:rsid w:val="0060613A"/>
    <w:rsid w:val="00606390"/>
    <w:rsid w:val="00606BAC"/>
    <w:rsid w:val="00606C9F"/>
    <w:rsid w:val="0060719E"/>
    <w:rsid w:val="00607B23"/>
    <w:rsid w:val="006102FE"/>
    <w:rsid w:val="00610B48"/>
    <w:rsid w:val="006119C0"/>
    <w:rsid w:val="00611AA3"/>
    <w:rsid w:val="00611CE7"/>
    <w:rsid w:val="006123A1"/>
    <w:rsid w:val="00612897"/>
    <w:rsid w:val="00612B27"/>
    <w:rsid w:val="00612D00"/>
    <w:rsid w:val="006136FC"/>
    <w:rsid w:val="00614213"/>
    <w:rsid w:val="00614414"/>
    <w:rsid w:val="006144E5"/>
    <w:rsid w:val="0061501F"/>
    <w:rsid w:val="0061504C"/>
    <w:rsid w:val="00616532"/>
    <w:rsid w:val="006169EC"/>
    <w:rsid w:val="00616E6E"/>
    <w:rsid w:val="0061777A"/>
    <w:rsid w:val="00617A69"/>
    <w:rsid w:val="00620956"/>
    <w:rsid w:val="00620D8D"/>
    <w:rsid w:val="0062124F"/>
    <w:rsid w:val="0062138E"/>
    <w:rsid w:val="00621CCB"/>
    <w:rsid w:val="0062239B"/>
    <w:rsid w:val="006230E0"/>
    <w:rsid w:val="00623D2E"/>
    <w:rsid w:val="00623E6B"/>
    <w:rsid w:val="006245DE"/>
    <w:rsid w:val="00624DF9"/>
    <w:rsid w:val="006255AB"/>
    <w:rsid w:val="0062597C"/>
    <w:rsid w:val="006259A9"/>
    <w:rsid w:val="00625EE1"/>
    <w:rsid w:val="006266F6"/>
    <w:rsid w:val="00626AEC"/>
    <w:rsid w:val="00626D24"/>
    <w:rsid w:val="006271AE"/>
    <w:rsid w:val="00627A04"/>
    <w:rsid w:val="00627B40"/>
    <w:rsid w:val="006302BA"/>
    <w:rsid w:val="00630974"/>
    <w:rsid w:val="00630CFF"/>
    <w:rsid w:val="00631998"/>
    <w:rsid w:val="00631D11"/>
    <w:rsid w:val="00631DF1"/>
    <w:rsid w:val="00633202"/>
    <w:rsid w:val="006335BB"/>
    <w:rsid w:val="00633A2A"/>
    <w:rsid w:val="00633C30"/>
    <w:rsid w:val="00633D99"/>
    <w:rsid w:val="00633E17"/>
    <w:rsid w:val="0063432F"/>
    <w:rsid w:val="00634367"/>
    <w:rsid w:val="00634E7F"/>
    <w:rsid w:val="0063514C"/>
    <w:rsid w:val="006357C9"/>
    <w:rsid w:val="0063641F"/>
    <w:rsid w:val="006367F1"/>
    <w:rsid w:val="00636B44"/>
    <w:rsid w:val="006370F9"/>
    <w:rsid w:val="006373BB"/>
    <w:rsid w:val="0063743F"/>
    <w:rsid w:val="00637938"/>
    <w:rsid w:val="006379FA"/>
    <w:rsid w:val="00637EF8"/>
    <w:rsid w:val="00640430"/>
    <w:rsid w:val="0064068C"/>
    <w:rsid w:val="00640EC2"/>
    <w:rsid w:val="00641557"/>
    <w:rsid w:val="0064176A"/>
    <w:rsid w:val="006418C0"/>
    <w:rsid w:val="0064192C"/>
    <w:rsid w:val="00641BA5"/>
    <w:rsid w:val="006425AD"/>
    <w:rsid w:val="006430B3"/>
    <w:rsid w:val="0064320C"/>
    <w:rsid w:val="006433A7"/>
    <w:rsid w:val="006436A7"/>
    <w:rsid w:val="00643E1F"/>
    <w:rsid w:val="00643ECF"/>
    <w:rsid w:val="00644110"/>
    <w:rsid w:val="00644D44"/>
    <w:rsid w:val="006450D1"/>
    <w:rsid w:val="00645428"/>
    <w:rsid w:val="00645554"/>
    <w:rsid w:val="006455D4"/>
    <w:rsid w:val="00646123"/>
    <w:rsid w:val="006461F0"/>
    <w:rsid w:val="00646EA1"/>
    <w:rsid w:val="00647768"/>
    <w:rsid w:val="006503E8"/>
    <w:rsid w:val="006503F1"/>
    <w:rsid w:val="0065068F"/>
    <w:rsid w:val="006509E5"/>
    <w:rsid w:val="00650AAB"/>
    <w:rsid w:val="00650FFE"/>
    <w:rsid w:val="006510C1"/>
    <w:rsid w:val="006511E2"/>
    <w:rsid w:val="00651208"/>
    <w:rsid w:val="006517B7"/>
    <w:rsid w:val="00651BD5"/>
    <w:rsid w:val="00651D35"/>
    <w:rsid w:val="00651F82"/>
    <w:rsid w:val="00652FA0"/>
    <w:rsid w:val="0065375C"/>
    <w:rsid w:val="006538AB"/>
    <w:rsid w:val="00653F5B"/>
    <w:rsid w:val="00654652"/>
    <w:rsid w:val="006553BC"/>
    <w:rsid w:val="0065573E"/>
    <w:rsid w:val="00655AA9"/>
    <w:rsid w:val="006560F8"/>
    <w:rsid w:val="00656898"/>
    <w:rsid w:val="006569C2"/>
    <w:rsid w:val="00657517"/>
    <w:rsid w:val="006575DF"/>
    <w:rsid w:val="00657653"/>
    <w:rsid w:val="006579F4"/>
    <w:rsid w:val="00660225"/>
    <w:rsid w:val="00660521"/>
    <w:rsid w:val="0066066B"/>
    <w:rsid w:val="00660D19"/>
    <w:rsid w:val="0066148B"/>
    <w:rsid w:val="00661813"/>
    <w:rsid w:val="006620A3"/>
    <w:rsid w:val="00662261"/>
    <w:rsid w:val="00662C0B"/>
    <w:rsid w:val="00663C57"/>
    <w:rsid w:val="006649DA"/>
    <w:rsid w:val="00664A5B"/>
    <w:rsid w:val="00664F13"/>
    <w:rsid w:val="0066513F"/>
    <w:rsid w:val="0066525E"/>
    <w:rsid w:val="0066568D"/>
    <w:rsid w:val="00665D88"/>
    <w:rsid w:val="006660BE"/>
    <w:rsid w:val="00666779"/>
    <w:rsid w:val="0067080B"/>
    <w:rsid w:val="00670DD5"/>
    <w:rsid w:val="00671771"/>
    <w:rsid w:val="00671788"/>
    <w:rsid w:val="006717AF"/>
    <w:rsid w:val="006718A7"/>
    <w:rsid w:val="00671BBF"/>
    <w:rsid w:val="00671E0F"/>
    <w:rsid w:val="00672409"/>
    <w:rsid w:val="00672B19"/>
    <w:rsid w:val="006738B0"/>
    <w:rsid w:val="00673FC2"/>
    <w:rsid w:val="0067416C"/>
    <w:rsid w:val="006747A6"/>
    <w:rsid w:val="00674870"/>
    <w:rsid w:val="0067493C"/>
    <w:rsid w:val="00674A77"/>
    <w:rsid w:val="00675550"/>
    <w:rsid w:val="00675CC9"/>
    <w:rsid w:val="006760E5"/>
    <w:rsid w:val="0067657B"/>
    <w:rsid w:val="006767E6"/>
    <w:rsid w:val="006769F7"/>
    <w:rsid w:val="00677832"/>
    <w:rsid w:val="00680EE7"/>
    <w:rsid w:val="00681304"/>
    <w:rsid w:val="0068139F"/>
    <w:rsid w:val="006816C6"/>
    <w:rsid w:val="00681B19"/>
    <w:rsid w:val="00681C39"/>
    <w:rsid w:val="00681CC9"/>
    <w:rsid w:val="00682413"/>
    <w:rsid w:val="00682DB0"/>
    <w:rsid w:val="0068341F"/>
    <w:rsid w:val="00683C0F"/>
    <w:rsid w:val="00683EA7"/>
    <w:rsid w:val="00684465"/>
    <w:rsid w:val="00684CA1"/>
    <w:rsid w:val="006856BD"/>
    <w:rsid w:val="00686BD7"/>
    <w:rsid w:val="00686E6E"/>
    <w:rsid w:val="006872FC"/>
    <w:rsid w:val="00687BA4"/>
    <w:rsid w:val="006911A2"/>
    <w:rsid w:val="00691427"/>
    <w:rsid w:val="0069162F"/>
    <w:rsid w:val="0069272F"/>
    <w:rsid w:val="00693BA1"/>
    <w:rsid w:val="0069413E"/>
    <w:rsid w:val="0069575C"/>
    <w:rsid w:val="006959A0"/>
    <w:rsid w:val="0069631B"/>
    <w:rsid w:val="006963B2"/>
    <w:rsid w:val="00696B88"/>
    <w:rsid w:val="00697010"/>
    <w:rsid w:val="006970E9"/>
    <w:rsid w:val="00697F5E"/>
    <w:rsid w:val="006A04EA"/>
    <w:rsid w:val="006A0C99"/>
    <w:rsid w:val="006A0FF1"/>
    <w:rsid w:val="006A12C0"/>
    <w:rsid w:val="006A1452"/>
    <w:rsid w:val="006A145C"/>
    <w:rsid w:val="006A15CA"/>
    <w:rsid w:val="006A1AB5"/>
    <w:rsid w:val="006A1BB3"/>
    <w:rsid w:val="006A35A9"/>
    <w:rsid w:val="006A365D"/>
    <w:rsid w:val="006A3695"/>
    <w:rsid w:val="006A38F6"/>
    <w:rsid w:val="006A38FA"/>
    <w:rsid w:val="006A3F56"/>
    <w:rsid w:val="006A4176"/>
    <w:rsid w:val="006A43C1"/>
    <w:rsid w:val="006A475F"/>
    <w:rsid w:val="006A4E39"/>
    <w:rsid w:val="006A5CA1"/>
    <w:rsid w:val="006A632A"/>
    <w:rsid w:val="006A675E"/>
    <w:rsid w:val="006A679D"/>
    <w:rsid w:val="006A6D9D"/>
    <w:rsid w:val="006B038C"/>
    <w:rsid w:val="006B04FB"/>
    <w:rsid w:val="006B0C88"/>
    <w:rsid w:val="006B129F"/>
    <w:rsid w:val="006B19FA"/>
    <w:rsid w:val="006B2924"/>
    <w:rsid w:val="006B2AA5"/>
    <w:rsid w:val="006B2D66"/>
    <w:rsid w:val="006B2F19"/>
    <w:rsid w:val="006B3A20"/>
    <w:rsid w:val="006B3D94"/>
    <w:rsid w:val="006B3D9F"/>
    <w:rsid w:val="006B42F3"/>
    <w:rsid w:val="006B465C"/>
    <w:rsid w:val="006B47FE"/>
    <w:rsid w:val="006B4BCD"/>
    <w:rsid w:val="006B542C"/>
    <w:rsid w:val="006B5AAF"/>
    <w:rsid w:val="006B5B28"/>
    <w:rsid w:val="006B680E"/>
    <w:rsid w:val="006B6B30"/>
    <w:rsid w:val="006B7384"/>
    <w:rsid w:val="006B74CB"/>
    <w:rsid w:val="006B79D4"/>
    <w:rsid w:val="006C010D"/>
    <w:rsid w:val="006C024A"/>
    <w:rsid w:val="006C14E1"/>
    <w:rsid w:val="006C179B"/>
    <w:rsid w:val="006C1E66"/>
    <w:rsid w:val="006C313C"/>
    <w:rsid w:val="006C33A8"/>
    <w:rsid w:val="006C35FA"/>
    <w:rsid w:val="006C368B"/>
    <w:rsid w:val="006C3E38"/>
    <w:rsid w:val="006C3E6A"/>
    <w:rsid w:val="006C4382"/>
    <w:rsid w:val="006C45E4"/>
    <w:rsid w:val="006C512B"/>
    <w:rsid w:val="006C5674"/>
    <w:rsid w:val="006C58C5"/>
    <w:rsid w:val="006C7241"/>
    <w:rsid w:val="006C7442"/>
    <w:rsid w:val="006C7FA7"/>
    <w:rsid w:val="006D0FE2"/>
    <w:rsid w:val="006D13AB"/>
    <w:rsid w:val="006D1B43"/>
    <w:rsid w:val="006D1E20"/>
    <w:rsid w:val="006D2430"/>
    <w:rsid w:val="006D2CC4"/>
    <w:rsid w:val="006D3C56"/>
    <w:rsid w:val="006D3C94"/>
    <w:rsid w:val="006D3E9A"/>
    <w:rsid w:val="006D4592"/>
    <w:rsid w:val="006D4ED4"/>
    <w:rsid w:val="006D50CB"/>
    <w:rsid w:val="006D55B7"/>
    <w:rsid w:val="006D584C"/>
    <w:rsid w:val="006D59CB"/>
    <w:rsid w:val="006D5DEE"/>
    <w:rsid w:val="006D699A"/>
    <w:rsid w:val="006D6DB9"/>
    <w:rsid w:val="006D6E76"/>
    <w:rsid w:val="006D79A8"/>
    <w:rsid w:val="006E1107"/>
    <w:rsid w:val="006E12F4"/>
    <w:rsid w:val="006E15DA"/>
    <w:rsid w:val="006E1A66"/>
    <w:rsid w:val="006E1DA5"/>
    <w:rsid w:val="006E215F"/>
    <w:rsid w:val="006E27D8"/>
    <w:rsid w:val="006E3C5B"/>
    <w:rsid w:val="006E3D31"/>
    <w:rsid w:val="006E493D"/>
    <w:rsid w:val="006E4EEE"/>
    <w:rsid w:val="006E5E36"/>
    <w:rsid w:val="006E64CE"/>
    <w:rsid w:val="006E6C5E"/>
    <w:rsid w:val="006E6F5D"/>
    <w:rsid w:val="006E7663"/>
    <w:rsid w:val="006E79DE"/>
    <w:rsid w:val="006E7B91"/>
    <w:rsid w:val="006F000D"/>
    <w:rsid w:val="006F0344"/>
    <w:rsid w:val="006F04B2"/>
    <w:rsid w:val="006F05F3"/>
    <w:rsid w:val="006F07E6"/>
    <w:rsid w:val="006F0D8E"/>
    <w:rsid w:val="006F25DE"/>
    <w:rsid w:val="006F2CBE"/>
    <w:rsid w:val="006F3013"/>
    <w:rsid w:val="006F34DE"/>
    <w:rsid w:val="006F3643"/>
    <w:rsid w:val="006F45C1"/>
    <w:rsid w:val="006F5216"/>
    <w:rsid w:val="006F5565"/>
    <w:rsid w:val="006F5757"/>
    <w:rsid w:val="006F62B6"/>
    <w:rsid w:val="006F7387"/>
    <w:rsid w:val="006F7417"/>
    <w:rsid w:val="006F76F1"/>
    <w:rsid w:val="006F787D"/>
    <w:rsid w:val="006F7964"/>
    <w:rsid w:val="007000ED"/>
    <w:rsid w:val="00700626"/>
    <w:rsid w:val="00700E8C"/>
    <w:rsid w:val="00700EA9"/>
    <w:rsid w:val="00701426"/>
    <w:rsid w:val="00701A4B"/>
    <w:rsid w:val="00702323"/>
    <w:rsid w:val="00702437"/>
    <w:rsid w:val="007026AF"/>
    <w:rsid w:val="007029EB"/>
    <w:rsid w:val="00702E1A"/>
    <w:rsid w:val="00703101"/>
    <w:rsid w:val="00703D27"/>
    <w:rsid w:val="00704C42"/>
    <w:rsid w:val="00704CE4"/>
    <w:rsid w:val="00704DEB"/>
    <w:rsid w:val="00704FFD"/>
    <w:rsid w:val="00705372"/>
    <w:rsid w:val="00705DF7"/>
    <w:rsid w:val="00705E74"/>
    <w:rsid w:val="00706013"/>
    <w:rsid w:val="00706187"/>
    <w:rsid w:val="007066CE"/>
    <w:rsid w:val="00706801"/>
    <w:rsid w:val="007068A9"/>
    <w:rsid w:val="00707336"/>
    <w:rsid w:val="0070749B"/>
    <w:rsid w:val="00707E9E"/>
    <w:rsid w:val="00710625"/>
    <w:rsid w:val="00711274"/>
    <w:rsid w:val="007119C5"/>
    <w:rsid w:val="00711F30"/>
    <w:rsid w:val="00711FE1"/>
    <w:rsid w:val="00712D40"/>
    <w:rsid w:val="00712FA9"/>
    <w:rsid w:val="00714D0C"/>
    <w:rsid w:val="00714F53"/>
    <w:rsid w:val="0071529E"/>
    <w:rsid w:val="00715AB2"/>
    <w:rsid w:val="00715E78"/>
    <w:rsid w:val="00716532"/>
    <w:rsid w:val="007176BC"/>
    <w:rsid w:val="007176FC"/>
    <w:rsid w:val="007177D2"/>
    <w:rsid w:val="00717CF7"/>
    <w:rsid w:val="00720067"/>
    <w:rsid w:val="00720084"/>
    <w:rsid w:val="0072080F"/>
    <w:rsid w:val="00721ACD"/>
    <w:rsid w:val="007221DF"/>
    <w:rsid w:val="007225D3"/>
    <w:rsid w:val="00722747"/>
    <w:rsid w:val="007228B8"/>
    <w:rsid w:val="007231CB"/>
    <w:rsid w:val="00723B96"/>
    <w:rsid w:val="007241C5"/>
    <w:rsid w:val="007243F9"/>
    <w:rsid w:val="0072447F"/>
    <w:rsid w:val="007244BF"/>
    <w:rsid w:val="007244D9"/>
    <w:rsid w:val="007248CC"/>
    <w:rsid w:val="00724E65"/>
    <w:rsid w:val="00724EEE"/>
    <w:rsid w:val="00725E4F"/>
    <w:rsid w:val="0072631F"/>
    <w:rsid w:val="007265CD"/>
    <w:rsid w:val="00726806"/>
    <w:rsid w:val="00726E0F"/>
    <w:rsid w:val="0072767E"/>
    <w:rsid w:val="00727C03"/>
    <w:rsid w:val="007303D1"/>
    <w:rsid w:val="007307B7"/>
    <w:rsid w:val="00730A9F"/>
    <w:rsid w:val="00731DD7"/>
    <w:rsid w:val="00732058"/>
    <w:rsid w:val="00732C1B"/>
    <w:rsid w:val="007334C2"/>
    <w:rsid w:val="00733805"/>
    <w:rsid w:val="00733923"/>
    <w:rsid w:val="0073454A"/>
    <w:rsid w:val="00734FE1"/>
    <w:rsid w:val="0073514F"/>
    <w:rsid w:val="00735C29"/>
    <w:rsid w:val="00735F5E"/>
    <w:rsid w:val="007369BE"/>
    <w:rsid w:val="00736DEF"/>
    <w:rsid w:val="00740104"/>
    <w:rsid w:val="00740418"/>
    <w:rsid w:val="00741529"/>
    <w:rsid w:val="00742C9B"/>
    <w:rsid w:val="00743BE1"/>
    <w:rsid w:val="00744A00"/>
    <w:rsid w:val="00744A9E"/>
    <w:rsid w:val="00745299"/>
    <w:rsid w:val="00745872"/>
    <w:rsid w:val="00745BBF"/>
    <w:rsid w:val="00745E03"/>
    <w:rsid w:val="00745EAA"/>
    <w:rsid w:val="00746CBB"/>
    <w:rsid w:val="00746D56"/>
    <w:rsid w:val="00746E5B"/>
    <w:rsid w:val="00747010"/>
    <w:rsid w:val="0074747C"/>
    <w:rsid w:val="00750169"/>
    <w:rsid w:val="0075017A"/>
    <w:rsid w:val="007501D1"/>
    <w:rsid w:val="00750393"/>
    <w:rsid w:val="007508D6"/>
    <w:rsid w:val="00750A4F"/>
    <w:rsid w:val="00751302"/>
    <w:rsid w:val="007513A0"/>
    <w:rsid w:val="00751A33"/>
    <w:rsid w:val="007523C3"/>
    <w:rsid w:val="00752682"/>
    <w:rsid w:val="00752A9D"/>
    <w:rsid w:val="00752B36"/>
    <w:rsid w:val="00752E9A"/>
    <w:rsid w:val="00753B6B"/>
    <w:rsid w:val="00753D1D"/>
    <w:rsid w:val="0075475D"/>
    <w:rsid w:val="00754D1B"/>
    <w:rsid w:val="00755B60"/>
    <w:rsid w:val="00756518"/>
    <w:rsid w:val="00756AFA"/>
    <w:rsid w:val="00757D7E"/>
    <w:rsid w:val="007608B9"/>
    <w:rsid w:val="00760B52"/>
    <w:rsid w:val="00761675"/>
    <w:rsid w:val="00761776"/>
    <w:rsid w:val="00761A69"/>
    <w:rsid w:val="00761F14"/>
    <w:rsid w:val="007629B9"/>
    <w:rsid w:val="007639EA"/>
    <w:rsid w:val="00763ACB"/>
    <w:rsid w:val="0076487F"/>
    <w:rsid w:val="0076497E"/>
    <w:rsid w:val="00764B5B"/>
    <w:rsid w:val="00765739"/>
    <w:rsid w:val="007658FC"/>
    <w:rsid w:val="00765CC3"/>
    <w:rsid w:val="00766427"/>
    <w:rsid w:val="007668B6"/>
    <w:rsid w:val="00766BC4"/>
    <w:rsid w:val="00766C46"/>
    <w:rsid w:val="00766EEE"/>
    <w:rsid w:val="00767945"/>
    <w:rsid w:val="00767AE1"/>
    <w:rsid w:val="00770154"/>
    <w:rsid w:val="00770C53"/>
    <w:rsid w:val="00771C49"/>
    <w:rsid w:val="00772D5B"/>
    <w:rsid w:val="00772E15"/>
    <w:rsid w:val="007737CE"/>
    <w:rsid w:val="007738ED"/>
    <w:rsid w:val="007750E5"/>
    <w:rsid w:val="007761FC"/>
    <w:rsid w:val="007763EB"/>
    <w:rsid w:val="0077695C"/>
    <w:rsid w:val="007769FE"/>
    <w:rsid w:val="00776D61"/>
    <w:rsid w:val="0077704B"/>
    <w:rsid w:val="00777650"/>
    <w:rsid w:val="007778A2"/>
    <w:rsid w:val="00777946"/>
    <w:rsid w:val="00777DCE"/>
    <w:rsid w:val="007803F9"/>
    <w:rsid w:val="0078126A"/>
    <w:rsid w:val="007812CF"/>
    <w:rsid w:val="00781D0E"/>
    <w:rsid w:val="00781EEC"/>
    <w:rsid w:val="00782AFA"/>
    <w:rsid w:val="00782DC1"/>
    <w:rsid w:val="00782F84"/>
    <w:rsid w:val="00783090"/>
    <w:rsid w:val="007833D8"/>
    <w:rsid w:val="007837C9"/>
    <w:rsid w:val="00783847"/>
    <w:rsid w:val="0078388E"/>
    <w:rsid w:val="00783B24"/>
    <w:rsid w:val="00783FD1"/>
    <w:rsid w:val="0078411B"/>
    <w:rsid w:val="00784326"/>
    <w:rsid w:val="00785819"/>
    <w:rsid w:val="00785ADA"/>
    <w:rsid w:val="00785FAA"/>
    <w:rsid w:val="00787543"/>
    <w:rsid w:val="00790432"/>
    <w:rsid w:val="007908C7"/>
    <w:rsid w:val="0079111B"/>
    <w:rsid w:val="00791873"/>
    <w:rsid w:val="00791A38"/>
    <w:rsid w:val="00791B8F"/>
    <w:rsid w:val="00791E61"/>
    <w:rsid w:val="00791F1D"/>
    <w:rsid w:val="0079215C"/>
    <w:rsid w:val="00792BE7"/>
    <w:rsid w:val="00793375"/>
    <w:rsid w:val="0079349C"/>
    <w:rsid w:val="00794029"/>
    <w:rsid w:val="00794205"/>
    <w:rsid w:val="0079437D"/>
    <w:rsid w:val="00794552"/>
    <w:rsid w:val="00794FF6"/>
    <w:rsid w:val="0079516D"/>
    <w:rsid w:val="00795285"/>
    <w:rsid w:val="0079544E"/>
    <w:rsid w:val="0079560E"/>
    <w:rsid w:val="00795C51"/>
    <w:rsid w:val="00795D06"/>
    <w:rsid w:val="00795D21"/>
    <w:rsid w:val="00795D49"/>
    <w:rsid w:val="00796E13"/>
    <w:rsid w:val="00797541"/>
    <w:rsid w:val="007976F7"/>
    <w:rsid w:val="00797AFC"/>
    <w:rsid w:val="00797C3C"/>
    <w:rsid w:val="007A046C"/>
    <w:rsid w:val="007A04D4"/>
    <w:rsid w:val="007A1353"/>
    <w:rsid w:val="007A2478"/>
    <w:rsid w:val="007A2485"/>
    <w:rsid w:val="007A2549"/>
    <w:rsid w:val="007A2E54"/>
    <w:rsid w:val="007A3356"/>
    <w:rsid w:val="007A3D10"/>
    <w:rsid w:val="007A469B"/>
    <w:rsid w:val="007A4BBB"/>
    <w:rsid w:val="007A528A"/>
    <w:rsid w:val="007A65D4"/>
    <w:rsid w:val="007A6B97"/>
    <w:rsid w:val="007A6F2A"/>
    <w:rsid w:val="007A6F40"/>
    <w:rsid w:val="007A717C"/>
    <w:rsid w:val="007A7565"/>
    <w:rsid w:val="007A75B0"/>
    <w:rsid w:val="007A7918"/>
    <w:rsid w:val="007A7AE3"/>
    <w:rsid w:val="007A7D57"/>
    <w:rsid w:val="007B05C9"/>
    <w:rsid w:val="007B1AC0"/>
    <w:rsid w:val="007B25F7"/>
    <w:rsid w:val="007B26AB"/>
    <w:rsid w:val="007B3204"/>
    <w:rsid w:val="007B374D"/>
    <w:rsid w:val="007B4436"/>
    <w:rsid w:val="007B4807"/>
    <w:rsid w:val="007B4ACC"/>
    <w:rsid w:val="007B4E7C"/>
    <w:rsid w:val="007B5873"/>
    <w:rsid w:val="007B5F26"/>
    <w:rsid w:val="007B66E2"/>
    <w:rsid w:val="007B7507"/>
    <w:rsid w:val="007B75C6"/>
    <w:rsid w:val="007B79BD"/>
    <w:rsid w:val="007B7AA0"/>
    <w:rsid w:val="007C00DB"/>
    <w:rsid w:val="007C0210"/>
    <w:rsid w:val="007C0B68"/>
    <w:rsid w:val="007C1122"/>
    <w:rsid w:val="007C1780"/>
    <w:rsid w:val="007C19CC"/>
    <w:rsid w:val="007C22E9"/>
    <w:rsid w:val="007C2366"/>
    <w:rsid w:val="007C288E"/>
    <w:rsid w:val="007C2D78"/>
    <w:rsid w:val="007C39BD"/>
    <w:rsid w:val="007C4D31"/>
    <w:rsid w:val="007C5D5E"/>
    <w:rsid w:val="007C631B"/>
    <w:rsid w:val="007C68C7"/>
    <w:rsid w:val="007C6D1A"/>
    <w:rsid w:val="007C6DAE"/>
    <w:rsid w:val="007C7CAA"/>
    <w:rsid w:val="007D07F9"/>
    <w:rsid w:val="007D0BDC"/>
    <w:rsid w:val="007D156A"/>
    <w:rsid w:val="007D376F"/>
    <w:rsid w:val="007D3FE8"/>
    <w:rsid w:val="007D443D"/>
    <w:rsid w:val="007D4CBE"/>
    <w:rsid w:val="007D5609"/>
    <w:rsid w:val="007D563D"/>
    <w:rsid w:val="007D56F5"/>
    <w:rsid w:val="007D5905"/>
    <w:rsid w:val="007D5A34"/>
    <w:rsid w:val="007D6840"/>
    <w:rsid w:val="007D776F"/>
    <w:rsid w:val="007E09EC"/>
    <w:rsid w:val="007E0B45"/>
    <w:rsid w:val="007E18CD"/>
    <w:rsid w:val="007E22D0"/>
    <w:rsid w:val="007E22DC"/>
    <w:rsid w:val="007E2410"/>
    <w:rsid w:val="007E25D9"/>
    <w:rsid w:val="007E2B85"/>
    <w:rsid w:val="007E3087"/>
    <w:rsid w:val="007E38E5"/>
    <w:rsid w:val="007E4185"/>
    <w:rsid w:val="007E4694"/>
    <w:rsid w:val="007E488D"/>
    <w:rsid w:val="007E4A9B"/>
    <w:rsid w:val="007E5047"/>
    <w:rsid w:val="007E50DE"/>
    <w:rsid w:val="007E58B5"/>
    <w:rsid w:val="007E5FD9"/>
    <w:rsid w:val="007E65A1"/>
    <w:rsid w:val="007E6915"/>
    <w:rsid w:val="007E69F7"/>
    <w:rsid w:val="007E70E6"/>
    <w:rsid w:val="007F1020"/>
    <w:rsid w:val="007F12A6"/>
    <w:rsid w:val="007F131B"/>
    <w:rsid w:val="007F14F8"/>
    <w:rsid w:val="007F2225"/>
    <w:rsid w:val="007F222F"/>
    <w:rsid w:val="007F23B7"/>
    <w:rsid w:val="007F260A"/>
    <w:rsid w:val="007F27A1"/>
    <w:rsid w:val="007F382D"/>
    <w:rsid w:val="007F41C3"/>
    <w:rsid w:val="007F44FD"/>
    <w:rsid w:val="007F51AB"/>
    <w:rsid w:val="007F5279"/>
    <w:rsid w:val="007F56A4"/>
    <w:rsid w:val="007F5A0B"/>
    <w:rsid w:val="007F5D69"/>
    <w:rsid w:val="007F6185"/>
    <w:rsid w:val="007F682E"/>
    <w:rsid w:val="007F747E"/>
    <w:rsid w:val="007F78BB"/>
    <w:rsid w:val="007F7BE3"/>
    <w:rsid w:val="007F7CD6"/>
    <w:rsid w:val="007F7D6E"/>
    <w:rsid w:val="00800173"/>
    <w:rsid w:val="0080018C"/>
    <w:rsid w:val="0080028C"/>
    <w:rsid w:val="00800708"/>
    <w:rsid w:val="00800CEB"/>
    <w:rsid w:val="00801568"/>
    <w:rsid w:val="00801EA5"/>
    <w:rsid w:val="00802EBA"/>
    <w:rsid w:val="008032BC"/>
    <w:rsid w:val="008037AB"/>
    <w:rsid w:val="008042E8"/>
    <w:rsid w:val="008046E0"/>
    <w:rsid w:val="00804FA1"/>
    <w:rsid w:val="00805709"/>
    <w:rsid w:val="00805DAE"/>
    <w:rsid w:val="0080611E"/>
    <w:rsid w:val="008064C4"/>
    <w:rsid w:val="00806D4F"/>
    <w:rsid w:val="00807950"/>
    <w:rsid w:val="00807F15"/>
    <w:rsid w:val="00807F45"/>
    <w:rsid w:val="00810C81"/>
    <w:rsid w:val="00810D60"/>
    <w:rsid w:val="008117C6"/>
    <w:rsid w:val="008119D4"/>
    <w:rsid w:val="00812A89"/>
    <w:rsid w:val="00812A9F"/>
    <w:rsid w:val="00812B8F"/>
    <w:rsid w:val="00812ED8"/>
    <w:rsid w:val="00812F6D"/>
    <w:rsid w:val="00813126"/>
    <w:rsid w:val="00813771"/>
    <w:rsid w:val="00813BA4"/>
    <w:rsid w:val="00813CE5"/>
    <w:rsid w:val="008140D8"/>
    <w:rsid w:val="00814AA2"/>
    <w:rsid w:val="00814C0D"/>
    <w:rsid w:val="0081569F"/>
    <w:rsid w:val="00815955"/>
    <w:rsid w:val="00816033"/>
    <w:rsid w:val="008164C7"/>
    <w:rsid w:val="00816982"/>
    <w:rsid w:val="00816B59"/>
    <w:rsid w:val="008174FC"/>
    <w:rsid w:val="0081765E"/>
    <w:rsid w:val="00817B32"/>
    <w:rsid w:val="00820A8A"/>
    <w:rsid w:val="00821104"/>
    <w:rsid w:val="00821650"/>
    <w:rsid w:val="008218BF"/>
    <w:rsid w:val="00821C74"/>
    <w:rsid w:val="008238AC"/>
    <w:rsid w:val="008240D8"/>
    <w:rsid w:val="00824999"/>
    <w:rsid w:val="00824DA5"/>
    <w:rsid w:val="00825B56"/>
    <w:rsid w:val="00826017"/>
    <w:rsid w:val="0082633B"/>
    <w:rsid w:val="00826912"/>
    <w:rsid w:val="00826B8D"/>
    <w:rsid w:val="008275F0"/>
    <w:rsid w:val="00830170"/>
    <w:rsid w:val="00830383"/>
    <w:rsid w:val="0083077F"/>
    <w:rsid w:val="008307B0"/>
    <w:rsid w:val="00830939"/>
    <w:rsid w:val="00830DFA"/>
    <w:rsid w:val="008319AB"/>
    <w:rsid w:val="0083204D"/>
    <w:rsid w:val="0083332B"/>
    <w:rsid w:val="008338B7"/>
    <w:rsid w:val="00833D11"/>
    <w:rsid w:val="00833F2A"/>
    <w:rsid w:val="00834051"/>
    <w:rsid w:val="00834685"/>
    <w:rsid w:val="00834FFB"/>
    <w:rsid w:val="00835A56"/>
    <w:rsid w:val="00836124"/>
    <w:rsid w:val="0083642A"/>
    <w:rsid w:val="00836D71"/>
    <w:rsid w:val="00837B50"/>
    <w:rsid w:val="00840026"/>
    <w:rsid w:val="00840104"/>
    <w:rsid w:val="008409B4"/>
    <w:rsid w:val="00840CC9"/>
    <w:rsid w:val="00841860"/>
    <w:rsid w:val="0084244B"/>
    <w:rsid w:val="0084254E"/>
    <w:rsid w:val="0084282F"/>
    <w:rsid w:val="00842BA3"/>
    <w:rsid w:val="00842F08"/>
    <w:rsid w:val="00842F7C"/>
    <w:rsid w:val="0084304F"/>
    <w:rsid w:val="0084340B"/>
    <w:rsid w:val="0084354E"/>
    <w:rsid w:val="008437EE"/>
    <w:rsid w:val="008439B3"/>
    <w:rsid w:val="00843A8E"/>
    <w:rsid w:val="00843D00"/>
    <w:rsid w:val="00843F2A"/>
    <w:rsid w:val="00843F61"/>
    <w:rsid w:val="0084444E"/>
    <w:rsid w:val="008449CB"/>
    <w:rsid w:val="00845052"/>
    <w:rsid w:val="00845F44"/>
    <w:rsid w:val="00846396"/>
    <w:rsid w:val="008471FA"/>
    <w:rsid w:val="008479FA"/>
    <w:rsid w:val="00847F7B"/>
    <w:rsid w:val="0085014C"/>
    <w:rsid w:val="00850332"/>
    <w:rsid w:val="008506C9"/>
    <w:rsid w:val="0085093F"/>
    <w:rsid w:val="00850BBD"/>
    <w:rsid w:val="0085116F"/>
    <w:rsid w:val="00851A1E"/>
    <w:rsid w:val="00851AA8"/>
    <w:rsid w:val="00852EA2"/>
    <w:rsid w:val="00853052"/>
    <w:rsid w:val="00853B57"/>
    <w:rsid w:val="00855CB1"/>
    <w:rsid w:val="00856823"/>
    <w:rsid w:val="00856CF2"/>
    <w:rsid w:val="0085749F"/>
    <w:rsid w:val="00857BB0"/>
    <w:rsid w:val="008618EE"/>
    <w:rsid w:val="00861948"/>
    <w:rsid w:val="00861B5F"/>
    <w:rsid w:val="00861C7F"/>
    <w:rsid w:val="00861EE5"/>
    <w:rsid w:val="008622E7"/>
    <w:rsid w:val="00862417"/>
    <w:rsid w:val="00862ACA"/>
    <w:rsid w:val="00862F61"/>
    <w:rsid w:val="00863E33"/>
    <w:rsid w:val="00863F04"/>
    <w:rsid w:val="008644AF"/>
    <w:rsid w:val="00864969"/>
    <w:rsid w:val="008649C1"/>
    <w:rsid w:val="008651D7"/>
    <w:rsid w:val="00866295"/>
    <w:rsid w:val="00866A84"/>
    <w:rsid w:val="00866DD4"/>
    <w:rsid w:val="008670E0"/>
    <w:rsid w:val="00867B13"/>
    <w:rsid w:val="00870385"/>
    <w:rsid w:val="008707EB"/>
    <w:rsid w:val="00870D6F"/>
    <w:rsid w:val="00872E1B"/>
    <w:rsid w:val="008736D3"/>
    <w:rsid w:val="00873794"/>
    <w:rsid w:val="00873893"/>
    <w:rsid w:val="00873E1A"/>
    <w:rsid w:val="00873E8A"/>
    <w:rsid w:val="00874175"/>
    <w:rsid w:val="00874A7D"/>
    <w:rsid w:val="00875185"/>
    <w:rsid w:val="008754FB"/>
    <w:rsid w:val="00875909"/>
    <w:rsid w:val="008759A5"/>
    <w:rsid w:val="0087645F"/>
    <w:rsid w:val="008765CC"/>
    <w:rsid w:val="008767F1"/>
    <w:rsid w:val="00876883"/>
    <w:rsid w:val="008768B0"/>
    <w:rsid w:val="00876D40"/>
    <w:rsid w:val="008771B8"/>
    <w:rsid w:val="008773FC"/>
    <w:rsid w:val="00877D0F"/>
    <w:rsid w:val="008804D0"/>
    <w:rsid w:val="00881146"/>
    <w:rsid w:val="00881998"/>
    <w:rsid w:val="00881F60"/>
    <w:rsid w:val="00882478"/>
    <w:rsid w:val="00882CD1"/>
    <w:rsid w:val="00882EAC"/>
    <w:rsid w:val="00882F51"/>
    <w:rsid w:val="00882FFC"/>
    <w:rsid w:val="00883350"/>
    <w:rsid w:val="00884907"/>
    <w:rsid w:val="00884ADD"/>
    <w:rsid w:val="00885222"/>
    <w:rsid w:val="008852D5"/>
    <w:rsid w:val="00885CC2"/>
    <w:rsid w:val="00886124"/>
    <w:rsid w:val="0088643A"/>
    <w:rsid w:val="008866A6"/>
    <w:rsid w:val="00886B94"/>
    <w:rsid w:val="00886BDA"/>
    <w:rsid w:val="00886EEB"/>
    <w:rsid w:val="00887499"/>
    <w:rsid w:val="00887A54"/>
    <w:rsid w:val="00887B2D"/>
    <w:rsid w:val="00890163"/>
    <w:rsid w:val="008902BE"/>
    <w:rsid w:val="00890CA1"/>
    <w:rsid w:val="0089154E"/>
    <w:rsid w:val="00891556"/>
    <w:rsid w:val="00891DA0"/>
    <w:rsid w:val="0089219B"/>
    <w:rsid w:val="00892627"/>
    <w:rsid w:val="008929B6"/>
    <w:rsid w:val="00892A87"/>
    <w:rsid w:val="00892CA9"/>
    <w:rsid w:val="008930D0"/>
    <w:rsid w:val="00893859"/>
    <w:rsid w:val="00893EC5"/>
    <w:rsid w:val="00894026"/>
    <w:rsid w:val="008940BD"/>
    <w:rsid w:val="00894207"/>
    <w:rsid w:val="008948A5"/>
    <w:rsid w:val="00894A0A"/>
    <w:rsid w:val="0089519A"/>
    <w:rsid w:val="00895796"/>
    <w:rsid w:val="00895FE1"/>
    <w:rsid w:val="0089602E"/>
    <w:rsid w:val="00896C9F"/>
    <w:rsid w:val="0089716F"/>
    <w:rsid w:val="00897268"/>
    <w:rsid w:val="008977CA"/>
    <w:rsid w:val="008A096E"/>
    <w:rsid w:val="008A09F3"/>
    <w:rsid w:val="008A0AA5"/>
    <w:rsid w:val="008A0D7F"/>
    <w:rsid w:val="008A1044"/>
    <w:rsid w:val="008A1373"/>
    <w:rsid w:val="008A14B6"/>
    <w:rsid w:val="008A2CD0"/>
    <w:rsid w:val="008A2E2F"/>
    <w:rsid w:val="008A31BC"/>
    <w:rsid w:val="008A32DA"/>
    <w:rsid w:val="008A39BA"/>
    <w:rsid w:val="008A3B0F"/>
    <w:rsid w:val="008A3D9F"/>
    <w:rsid w:val="008A42B8"/>
    <w:rsid w:val="008A435E"/>
    <w:rsid w:val="008A44DD"/>
    <w:rsid w:val="008A497B"/>
    <w:rsid w:val="008A4D6C"/>
    <w:rsid w:val="008A5201"/>
    <w:rsid w:val="008A5359"/>
    <w:rsid w:val="008A54F1"/>
    <w:rsid w:val="008A58F6"/>
    <w:rsid w:val="008A5CC2"/>
    <w:rsid w:val="008A6175"/>
    <w:rsid w:val="008A644C"/>
    <w:rsid w:val="008A7003"/>
    <w:rsid w:val="008A74B5"/>
    <w:rsid w:val="008A7EC9"/>
    <w:rsid w:val="008B00EE"/>
    <w:rsid w:val="008B0AD6"/>
    <w:rsid w:val="008B0CB9"/>
    <w:rsid w:val="008B10E1"/>
    <w:rsid w:val="008B177C"/>
    <w:rsid w:val="008B17C9"/>
    <w:rsid w:val="008B224B"/>
    <w:rsid w:val="008B2369"/>
    <w:rsid w:val="008B252B"/>
    <w:rsid w:val="008B287A"/>
    <w:rsid w:val="008B2A3C"/>
    <w:rsid w:val="008B2F26"/>
    <w:rsid w:val="008B339B"/>
    <w:rsid w:val="008B3530"/>
    <w:rsid w:val="008B3BA0"/>
    <w:rsid w:val="008B3E87"/>
    <w:rsid w:val="008B3F63"/>
    <w:rsid w:val="008B4433"/>
    <w:rsid w:val="008B45ED"/>
    <w:rsid w:val="008B4830"/>
    <w:rsid w:val="008B49F3"/>
    <w:rsid w:val="008B4E07"/>
    <w:rsid w:val="008B5016"/>
    <w:rsid w:val="008B5C5C"/>
    <w:rsid w:val="008B5C85"/>
    <w:rsid w:val="008B5CD9"/>
    <w:rsid w:val="008B5D21"/>
    <w:rsid w:val="008B6764"/>
    <w:rsid w:val="008B70F0"/>
    <w:rsid w:val="008C0B2D"/>
    <w:rsid w:val="008C2342"/>
    <w:rsid w:val="008C238C"/>
    <w:rsid w:val="008C3487"/>
    <w:rsid w:val="008C4B6A"/>
    <w:rsid w:val="008C4C57"/>
    <w:rsid w:val="008C5131"/>
    <w:rsid w:val="008C5BC6"/>
    <w:rsid w:val="008C5D4F"/>
    <w:rsid w:val="008C5FE1"/>
    <w:rsid w:val="008C6AD0"/>
    <w:rsid w:val="008C7326"/>
    <w:rsid w:val="008C7AE9"/>
    <w:rsid w:val="008C7CB5"/>
    <w:rsid w:val="008D0248"/>
    <w:rsid w:val="008D0C10"/>
    <w:rsid w:val="008D152D"/>
    <w:rsid w:val="008D1698"/>
    <w:rsid w:val="008D19EB"/>
    <w:rsid w:val="008D1F6C"/>
    <w:rsid w:val="008D2292"/>
    <w:rsid w:val="008D31DD"/>
    <w:rsid w:val="008D3319"/>
    <w:rsid w:val="008D3C98"/>
    <w:rsid w:val="008D3D6C"/>
    <w:rsid w:val="008D3F4E"/>
    <w:rsid w:val="008D42EB"/>
    <w:rsid w:val="008D4644"/>
    <w:rsid w:val="008D4694"/>
    <w:rsid w:val="008D4BEA"/>
    <w:rsid w:val="008D4E45"/>
    <w:rsid w:val="008D568B"/>
    <w:rsid w:val="008D786C"/>
    <w:rsid w:val="008E0308"/>
    <w:rsid w:val="008E0B51"/>
    <w:rsid w:val="008E0BA9"/>
    <w:rsid w:val="008E113F"/>
    <w:rsid w:val="008E1C07"/>
    <w:rsid w:val="008E24B2"/>
    <w:rsid w:val="008E2CAC"/>
    <w:rsid w:val="008E377F"/>
    <w:rsid w:val="008E3B61"/>
    <w:rsid w:val="008E3E16"/>
    <w:rsid w:val="008E3FD4"/>
    <w:rsid w:val="008E6892"/>
    <w:rsid w:val="008E6DBB"/>
    <w:rsid w:val="008E6F1D"/>
    <w:rsid w:val="008E7B0C"/>
    <w:rsid w:val="008E7C8D"/>
    <w:rsid w:val="008F000D"/>
    <w:rsid w:val="008F01B5"/>
    <w:rsid w:val="008F068F"/>
    <w:rsid w:val="008F0A6A"/>
    <w:rsid w:val="008F13C3"/>
    <w:rsid w:val="008F257F"/>
    <w:rsid w:val="008F301A"/>
    <w:rsid w:val="008F329F"/>
    <w:rsid w:val="008F3687"/>
    <w:rsid w:val="008F3FE9"/>
    <w:rsid w:val="008F45B3"/>
    <w:rsid w:val="008F4869"/>
    <w:rsid w:val="008F5304"/>
    <w:rsid w:val="008F537C"/>
    <w:rsid w:val="008F5BFC"/>
    <w:rsid w:val="008F5CAB"/>
    <w:rsid w:val="008F5E13"/>
    <w:rsid w:val="008F5E4D"/>
    <w:rsid w:val="008F730B"/>
    <w:rsid w:val="008F7565"/>
    <w:rsid w:val="008F78FC"/>
    <w:rsid w:val="00900CDE"/>
    <w:rsid w:val="00901B08"/>
    <w:rsid w:val="00901B79"/>
    <w:rsid w:val="00901BED"/>
    <w:rsid w:val="009022D6"/>
    <w:rsid w:val="0090233F"/>
    <w:rsid w:val="00902A03"/>
    <w:rsid w:val="00902AD7"/>
    <w:rsid w:val="00902D83"/>
    <w:rsid w:val="00903123"/>
    <w:rsid w:val="00903653"/>
    <w:rsid w:val="009043B1"/>
    <w:rsid w:val="009046F1"/>
    <w:rsid w:val="0090471B"/>
    <w:rsid w:val="0090610B"/>
    <w:rsid w:val="0090619A"/>
    <w:rsid w:val="009067ED"/>
    <w:rsid w:val="0090698C"/>
    <w:rsid w:val="00906A3C"/>
    <w:rsid w:val="00906BA8"/>
    <w:rsid w:val="00906C24"/>
    <w:rsid w:val="00906CF6"/>
    <w:rsid w:val="00906F48"/>
    <w:rsid w:val="0090779E"/>
    <w:rsid w:val="00907B04"/>
    <w:rsid w:val="00907B30"/>
    <w:rsid w:val="00907C02"/>
    <w:rsid w:val="00907C95"/>
    <w:rsid w:val="00910007"/>
    <w:rsid w:val="009105EF"/>
    <w:rsid w:val="00910619"/>
    <w:rsid w:val="0091095B"/>
    <w:rsid w:val="00911971"/>
    <w:rsid w:val="00911A01"/>
    <w:rsid w:val="00911E77"/>
    <w:rsid w:val="00912539"/>
    <w:rsid w:val="009126B8"/>
    <w:rsid w:val="009126FF"/>
    <w:rsid w:val="00912D35"/>
    <w:rsid w:val="009135F7"/>
    <w:rsid w:val="00913C60"/>
    <w:rsid w:val="00913F51"/>
    <w:rsid w:val="00914C61"/>
    <w:rsid w:val="00915097"/>
    <w:rsid w:val="009153F3"/>
    <w:rsid w:val="00915FD4"/>
    <w:rsid w:val="009161FD"/>
    <w:rsid w:val="0091633A"/>
    <w:rsid w:val="00916544"/>
    <w:rsid w:val="0091675A"/>
    <w:rsid w:val="009169A6"/>
    <w:rsid w:val="00916C13"/>
    <w:rsid w:val="00917AAB"/>
    <w:rsid w:val="00920472"/>
    <w:rsid w:val="00920849"/>
    <w:rsid w:val="00920AD9"/>
    <w:rsid w:val="00921037"/>
    <w:rsid w:val="00921C86"/>
    <w:rsid w:val="00921E55"/>
    <w:rsid w:val="00921EBB"/>
    <w:rsid w:val="009241EF"/>
    <w:rsid w:val="009247E6"/>
    <w:rsid w:val="0092495C"/>
    <w:rsid w:val="00925C49"/>
    <w:rsid w:val="00925E1A"/>
    <w:rsid w:val="00926386"/>
    <w:rsid w:val="009267B6"/>
    <w:rsid w:val="009267E7"/>
    <w:rsid w:val="0092739F"/>
    <w:rsid w:val="009278ED"/>
    <w:rsid w:val="00927F02"/>
    <w:rsid w:val="009303AE"/>
    <w:rsid w:val="00930BF1"/>
    <w:rsid w:val="00930CAD"/>
    <w:rsid w:val="00930E35"/>
    <w:rsid w:val="00931CD7"/>
    <w:rsid w:val="009322B8"/>
    <w:rsid w:val="009323A1"/>
    <w:rsid w:val="009323D5"/>
    <w:rsid w:val="00932F2C"/>
    <w:rsid w:val="0093351D"/>
    <w:rsid w:val="00935B0E"/>
    <w:rsid w:val="0093686E"/>
    <w:rsid w:val="00936E91"/>
    <w:rsid w:val="009377E0"/>
    <w:rsid w:val="00937B53"/>
    <w:rsid w:val="00937C05"/>
    <w:rsid w:val="00940454"/>
    <w:rsid w:val="00940B1C"/>
    <w:rsid w:val="00941BF5"/>
    <w:rsid w:val="0094275C"/>
    <w:rsid w:val="0094401F"/>
    <w:rsid w:val="0094520D"/>
    <w:rsid w:val="009460AF"/>
    <w:rsid w:val="00946115"/>
    <w:rsid w:val="009466D7"/>
    <w:rsid w:val="009467D1"/>
    <w:rsid w:val="00947665"/>
    <w:rsid w:val="00947AC3"/>
    <w:rsid w:val="00947F33"/>
    <w:rsid w:val="00947F54"/>
    <w:rsid w:val="00947FD1"/>
    <w:rsid w:val="00950405"/>
    <w:rsid w:val="009509C3"/>
    <w:rsid w:val="00950CB9"/>
    <w:rsid w:val="00951BE8"/>
    <w:rsid w:val="00951F78"/>
    <w:rsid w:val="009521B7"/>
    <w:rsid w:val="009523D0"/>
    <w:rsid w:val="00953054"/>
    <w:rsid w:val="00953242"/>
    <w:rsid w:val="0095346E"/>
    <w:rsid w:val="00953E0C"/>
    <w:rsid w:val="00953EAA"/>
    <w:rsid w:val="00954056"/>
    <w:rsid w:val="009542BC"/>
    <w:rsid w:val="0095505A"/>
    <w:rsid w:val="00956718"/>
    <w:rsid w:val="00956A3D"/>
    <w:rsid w:val="00956E52"/>
    <w:rsid w:val="00957D39"/>
    <w:rsid w:val="00957E83"/>
    <w:rsid w:val="0096021D"/>
    <w:rsid w:val="009605B7"/>
    <w:rsid w:val="00961A8B"/>
    <w:rsid w:val="00961BD5"/>
    <w:rsid w:val="009622B0"/>
    <w:rsid w:val="00962895"/>
    <w:rsid w:val="00963D02"/>
    <w:rsid w:val="00963FE8"/>
    <w:rsid w:val="009642C1"/>
    <w:rsid w:val="00964EA5"/>
    <w:rsid w:val="0096555B"/>
    <w:rsid w:val="00966AA1"/>
    <w:rsid w:val="00966C5A"/>
    <w:rsid w:val="00966E8A"/>
    <w:rsid w:val="009677F1"/>
    <w:rsid w:val="009679D8"/>
    <w:rsid w:val="00967A90"/>
    <w:rsid w:val="00967B44"/>
    <w:rsid w:val="00970387"/>
    <w:rsid w:val="009719F4"/>
    <w:rsid w:val="00972186"/>
    <w:rsid w:val="009728E8"/>
    <w:rsid w:val="00972B85"/>
    <w:rsid w:val="00972EBE"/>
    <w:rsid w:val="00973AE1"/>
    <w:rsid w:val="00973ED9"/>
    <w:rsid w:val="0097411A"/>
    <w:rsid w:val="0097427A"/>
    <w:rsid w:val="00974DBE"/>
    <w:rsid w:val="00974FC9"/>
    <w:rsid w:val="00975047"/>
    <w:rsid w:val="0097519B"/>
    <w:rsid w:val="00975379"/>
    <w:rsid w:val="00975611"/>
    <w:rsid w:val="00975F0B"/>
    <w:rsid w:val="0097619E"/>
    <w:rsid w:val="009764D7"/>
    <w:rsid w:val="00976C72"/>
    <w:rsid w:val="00976E12"/>
    <w:rsid w:val="00977991"/>
    <w:rsid w:val="00980A9A"/>
    <w:rsid w:val="00980AF7"/>
    <w:rsid w:val="00980D19"/>
    <w:rsid w:val="00981192"/>
    <w:rsid w:val="00982366"/>
    <w:rsid w:val="009826B4"/>
    <w:rsid w:val="00982EFC"/>
    <w:rsid w:val="00983172"/>
    <w:rsid w:val="009835B0"/>
    <w:rsid w:val="009835B4"/>
    <w:rsid w:val="00983BE7"/>
    <w:rsid w:val="00983E1D"/>
    <w:rsid w:val="0098402D"/>
    <w:rsid w:val="00984F7C"/>
    <w:rsid w:val="00985174"/>
    <w:rsid w:val="009859DC"/>
    <w:rsid w:val="00985D5B"/>
    <w:rsid w:val="00986007"/>
    <w:rsid w:val="00987348"/>
    <w:rsid w:val="00987485"/>
    <w:rsid w:val="009877D0"/>
    <w:rsid w:val="00987AF9"/>
    <w:rsid w:val="009912B4"/>
    <w:rsid w:val="009917C6"/>
    <w:rsid w:val="00992045"/>
    <w:rsid w:val="00992D84"/>
    <w:rsid w:val="009937BE"/>
    <w:rsid w:val="009937DF"/>
    <w:rsid w:val="009939BA"/>
    <w:rsid w:val="0099446F"/>
    <w:rsid w:val="009945FE"/>
    <w:rsid w:val="00994A0A"/>
    <w:rsid w:val="00995814"/>
    <w:rsid w:val="009958C1"/>
    <w:rsid w:val="00995A08"/>
    <w:rsid w:val="00996427"/>
    <w:rsid w:val="00996510"/>
    <w:rsid w:val="00996B15"/>
    <w:rsid w:val="0099761E"/>
    <w:rsid w:val="00997AD7"/>
    <w:rsid w:val="00997C0C"/>
    <w:rsid w:val="00997E6F"/>
    <w:rsid w:val="009A0079"/>
    <w:rsid w:val="009A056A"/>
    <w:rsid w:val="009A089C"/>
    <w:rsid w:val="009A0DF8"/>
    <w:rsid w:val="009A0F4B"/>
    <w:rsid w:val="009A17F8"/>
    <w:rsid w:val="009A21AC"/>
    <w:rsid w:val="009A237E"/>
    <w:rsid w:val="009A24EE"/>
    <w:rsid w:val="009A3C4B"/>
    <w:rsid w:val="009A3FB6"/>
    <w:rsid w:val="009A43A1"/>
    <w:rsid w:val="009A43DC"/>
    <w:rsid w:val="009A4C95"/>
    <w:rsid w:val="009A56A2"/>
    <w:rsid w:val="009A72DA"/>
    <w:rsid w:val="009A7907"/>
    <w:rsid w:val="009B009E"/>
    <w:rsid w:val="009B02DB"/>
    <w:rsid w:val="009B0ABB"/>
    <w:rsid w:val="009B1609"/>
    <w:rsid w:val="009B16E4"/>
    <w:rsid w:val="009B1B48"/>
    <w:rsid w:val="009B1D01"/>
    <w:rsid w:val="009B1FF9"/>
    <w:rsid w:val="009B2B3C"/>
    <w:rsid w:val="009B2F51"/>
    <w:rsid w:val="009B3096"/>
    <w:rsid w:val="009B4483"/>
    <w:rsid w:val="009B44B0"/>
    <w:rsid w:val="009B4DD3"/>
    <w:rsid w:val="009B7233"/>
    <w:rsid w:val="009B7A2F"/>
    <w:rsid w:val="009B7D87"/>
    <w:rsid w:val="009B7E27"/>
    <w:rsid w:val="009B7F08"/>
    <w:rsid w:val="009C014E"/>
    <w:rsid w:val="009C09AA"/>
    <w:rsid w:val="009C10A8"/>
    <w:rsid w:val="009C15C2"/>
    <w:rsid w:val="009C1B93"/>
    <w:rsid w:val="009C1BD5"/>
    <w:rsid w:val="009C1F6D"/>
    <w:rsid w:val="009C2417"/>
    <w:rsid w:val="009C245B"/>
    <w:rsid w:val="009C2C98"/>
    <w:rsid w:val="009C395C"/>
    <w:rsid w:val="009C4172"/>
    <w:rsid w:val="009C421D"/>
    <w:rsid w:val="009C4E0F"/>
    <w:rsid w:val="009C4F2B"/>
    <w:rsid w:val="009C5740"/>
    <w:rsid w:val="009C5D95"/>
    <w:rsid w:val="009C5E06"/>
    <w:rsid w:val="009C626E"/>
    <w:rsid w:val="009C6310"/>
    <w:rsid w:val="009C6E09"/>
    <w:rsid w:val="009C7164"/>
    <w:rsid w:val="009C75B5"/>
    <w:rsid w:val="009C7642"/>
    <w:rsid w:val="009C7C6E"/>
    <w:rsid w:val="009D0387"/>
    <w:rsid w:val="009D0685"/>
    <w:rsid w:val="009D07FE"/>
    <w:rsid w:val="009D0D01"/>
    <w:rsid w:val="009D1391"/>
    <w:rsid w:val="009D139B"/>
    <w:rsid w:val="009D169D"/>
    <w:rsid w:val="009D19CD"/>
    <w:rsid w:val="009D1B4B"/>
    <w:rsid w:val="009D1BFE"/>
    <w:rsid w:val="009D1F9D"/>
    <w:rsid w:val="009D257B"/>
    <w:rsid w:val="009D27D7"/>
    <w:rsid w:val="009D3660"/>
    <w:rsid w:val="009D3A8B"/>
    <w:rsid w:val="009D3C41"/>
    <w:rsid w:val="009D4011"/>
    <w:rsid w:val="009D49C4"/>
    <w:rsid w:val="009D4B6E"/>
    <w:rsid w:val="009D4D2A"/>
    <w:rsid w:val="009D5863"/>
    <w:rsid w:val="009D64B5"/>
    <w:rsid w:val="009D6824"/>
    <w:rsid w:val="009D720F"/>
    <w:rsid w:val="009D7339"/>
    <w:rsid w:val="009D74B9"/>
    <w:rsid w:val="009E0573"/>
    <w:rsid w:val="009E0C4E"/>
    <w:rsid w:val="009E146A"/>
    <w:rsid w:val="009E1480"/>
    <w:rsid w:val="009E2167"/>
    <w:rsid w:val="009E218F"/>
    <w:rsid w:val="009E2566"/>
    <w:rsid w:val="009E2984"/>
    <w:rsid w:val="009E2BA6"/>
    <w:rsid w:val="009E2D20"/>
    <w:rsid w:val="009E2DE7"/>
    <w:rsid w:val="009E32F8"/>
    <w:rsid w:val="009E3361"/>
    <w:rsid w:val="009E3F5E"/>
    <w:rsid w:val="009E3F8D"/>
    <w:rsid w:val="009E40FC"/>
    <w:rsid w:val="009E4C72"/>
    <w:rsid w:val="009E4CFF"/>
    <w:rsid w:val="009E5047"/>
    <w:rsid w:val="009E54A8"/>
    <w:rsid w:val="009E562D"/>
    <w:rsid w:val="009E58B5"/>
    <w:rsid w:val="009E5D86"/>
    <w:rsid w:val="009E64C2"/>
    <w:rsid w:val="009E6870"/>
    <w:rsid w:val="009E6BBF"/>
    <w:rsid w:val="009E77FB"/>
    <w:rsid w:val="009E7DD9"/>
    <w:rsid w:val="009F03E4"/>
    <w:rsid w:val="009F0631"/>
    <w:rsid w:val="009F0AE5"/>
    <w:rsid w:val="009F0E16"/>
    <w:rsid w:val="009F0EF1"/>
    <w:rsid w:val="009F11A6"/>
    <w:rsid w:val="009F195E"/>
    <w:rsid w:val="009F2ECF"/>
    <w:rsid w:val="009F33E0"/>
    <w:rsid w:val="009F34F2"/>
    <w:rsid w:val="009F3C2F"/>
    <w:rsid w:val="009F411D"/>
    <w:rsid w:val="009F4841"/>
    <w:rsid w:val="009F4867"/>
    <w:rsid w:val="009F4E1C"/>
    <w:rsid w:val="009F526C"/>
    <w:rsid w:val="009F5386"/>
    <w:rsid w:val="009F53FA"/>
    <w:rsid w:val="009F5612"/>
    <w:rsid w:val="009F6099"/>
    <w:rsid w:val="009F62AC"/>
    <w:rsid w:val="009F63A3"/>
    <w:rsid w:val="009F66A0"/>
    <w:rsid w:val="009F739C"/>
    <w:rsid w:val="009F7D53"/>
    <w:rsid w:val="00A000BD"/>
    <w:rsid w:val="00A01C9D"/>
    <w:rsid w:val="00A01CF4"/>
    <w:rsid w:val="00A01D8A"/>
    <w:rsid w:val="00A02B7F"/>
    <w:rsid w:val="00A02E40"/>
    <w:rsid w:val="00A0369F"/>
    <w:rsid w:val="00A03C29"/>
    <w:rsid w:val="00A03F9F"/>
    <w:rsid w:val="00A05308"/>
    <w:rsid w:val="00A05859"/>
    <w:rsid w:val="00A05AB2"/>
    <w:rsid w:val="00A1039F"/>
    <w:rsid w:val="00A10503"/>
    <w:rsid w:val="00A1068E"/>
    <w:rsid w:val="00A10D5B"/>
    <w:rsid w:val="00A1127D"/>
    <w:rsid w:val="00A117C1"/>
    <w:rsid w:val="00A120C9"/>
    <w:rsid w:val="00A12209"/>
    <w:rsid w:val="00A12952"/>
    <w:rsid w:val="00A13347"/>
    <w:rsid w:val="00A1348B"/>
    <w:rsid w:val="00A149F7"/>
    <w:rsid w:val="00A14E29"/>
    <w:rsid w:val="00A154B0"/>
    <w:rsid w:val="00A15942"/>
    <w:rsid w:val="00A1636C"/>
    <w:rsid w:val="00A16409"/>
    <w:rsid w:val="00A1659E"/>
    <w:rsid w:val="00A16C95"/>
    <w:rsid w:val="00A20924"/>
    <w:rsid w:val="00A20F47"/>
    <w:rsid w:val="00A215F8"/>
    <w:rsid w:val="00A2169B"/>
    <w:rsid w:val="00A21D4B"/>
    <w:rsid w:val="00A21EB6"/>
    <w:rsid w:val="00A21FCA"/>
    <w:rsid w:val="00A2214E"/>
    <w:rsid w:val="00A222F9"/>
    <w:rsid w:val="00A22640"/>
    <w:rsid w:val="00A23091"/>
    <w:rsid w:val="00A23581"/>
    <w:rsid w:val="00A2381B"/>
    <w:rsid w:val="00A238D1"/>
    <w:rsid w:val="00A23BFE"/>
    <w:rsid w:val="00A23F33"/>
    <w:rsid w:val="00A24560"/>
    <w:rsid w:val="00A24634"/>
    <w:rsid w:val="00A251A0"/>
    <w:rsid w:val="00A2531E"/>
    <w:rsid w:val="00A25690"/>
    <w:rsid w:val="00A266AA"/>
    <w:rsid w:val="00A27474"/>
    <w:rsid w:val="00A3017A"/>
    <w:rsid w:val="00A30589"/>
    <w:rsid w:val="00A3094D"/>
    <w:rsid w:val="00A309E3"/>
    <w:rsid w:val="00A30AC4"/>
    <w:rsid w:val="00A3131C"/>
    <w:rsid w:val="00A31852"/>
    <w:rsid w:val="00A32C2C"/>
    <w:rsid w:val="00A331A1"/>
    <w:rsid w:val="00A3351D"/>
    <w:rsid w:val="00A33E28"/>
    <w:rsid w:val="00A35197"/>
    <w:rsid w:val="00A366D7"/>
    <w:rsid w:val="00A36D58"/>
    <w:rsid w:val="00A36EB4"/>
    <w:rsid w:val="00A374AE"/>
    <w:rsid w:val="00A37501"/>
    <w:rsid w:val="00A3796C"/>
    <w:rsid w:val="00A3799E"/>
    <w:rsid w:val="00A4138A"/>
    <w:rsid w:val="00A41535"/>
    <w:rsid w:val="00A41854"/>
    <w:rsid w:val="00A42461"/>
    <w:rsid w:val="00A426FD"/>
    <w:rsid w:val="00A42801"/>
    <w:rsid w:val="00A42F1A"/>
    <w:rsid w:val="00A43359"/>
    <w:rsid w:val="00A43A81"/>
    <w:rsid w:val="00A43CC6"/>
    <w:rsid w:val="00A43D4C"/>
    <w:rsid w:val="00A44176"/>
    <w:rsid w:val="00A447E9"/>
    <w:rsid w:val="00A44BBD"/>
    <w:rsid w:val="00A452FC"/>
    <w:rsid w:val="00A45732"/>
    <w:rsid w:val="00A46398"/>
    <w:rsid w:val="00A4742B"/>
    <w:rsid w:val="00A4747C"/>
    <w:rsid w:val="00A47565"/>
    <w:rsid w:val="00A478C4"/>
    <w:rsid w:val="00A47CD1"/>
    <w:rsid w:val="00A5078F"/>
    <w:rsid w:val="00A50D5E"/>
    <w:rsid w:val="00A51BD6"/>
    <w:rsid w:val="00A52FD4"/>
    <w:rsid w:val="00A53985"/>
    <w:rsid w:val="00A53E48"/>
    <w:rsid w:val="00A53F66"/>
    <w:rsid w:val="00A54269"/>
    <w:rsid w:val="00A54322"/>
    <w:rsid w:val="00A5438B"/>
    <w:rsid w:val="00A54693"/>
    <w:rsid w:val="00A55870"/>
    <w:rsid w:val="00A55C94"/>
    <w:rsid w:val="00A55D7F"/>
    <w:rsid w:val="00A56D81"/>
    <w:rsid w:val="00A57050"/>
    <w:rsid w:val="00A5724D"/>
    <w:rsid w:val="00A5735B"/>
    <w:rsid w:val="00A5780D"/>
    <w:rsid w:val="00A57C10"/>
    <w:rsid w:val="00A6012E"/>
    <w:rsid w:val="00A60891"/>
    <w:rsid w:val="00A60945"/>
    <w:rsid w:val="00A60E2D"/>
    <w:rsid w:val="00A60EF1"/>
    <w:rsid w:val="00A6171A"/>
    <w:rsid w:val="00A61BEF"/>
    <w:rsid w:val="00A6265A"/>
    <w:rsid w:val="00A62E0E"/>
    <w:rsid w:val="00A63361"/>
    <w:rsid w:val="00A640C0"/>
    <w:rsid w:val="00A641F4"/>
    <w:rsid w:val="00A647A4"/>
    <w:rsid w:val="00A64AC3"/>
    <w:rsid w:val="00A64F9E"/>
    <w:rsid w:val="00A650AE"/>
    <w:rsid w:val="00A65E43"/>
    <w:rsid w:val="00A667CC"/>
    <w:rsid w:val="00A6686B"/>
    <w:rsid w:val="00A672DE"/>
    <w:rsid w:val="00A6777E"/>
    <w:rsid w:val="00A67C78"/>
    <w:rsid w:val="00A67EDD"/>
    <w:rsid w:val="00A700A1"/>
    <w:rsid w:val="00A7055E"/>
    <w:rsid w:val="00A70B8A"/>
    <w:rsid w:val="00A711DF"/>
    <w:rsid w:val="00A71738"/>
    <w:rsid w:val="00A718E2"/>
    <w:rsid w:val="00A71CB8"/>
    <w:rsid w:val="00A71E99"/>
    <w:rsid w:val="00A7220A"/>
    <w:rsid w:val="00A72549"/>
    <w:rsid w:val="00A72572"/>
    <w:rsid w:val="00A728EB"/>
    <w:rsid w:val="00A72A1D"/>
    <w:rsid w:val="00A72FA6"/>
    <w:rsid w:val="00A731F0"/>
    <w:rsid w:val="00A7350F"/>
    <w:rsid w:val="00A7384F"/>
    <w:rsid w:val="00A739CE"/>
    <w:rsid w:val="00A739E7"/>
    <w:rsid w:val="00A7415A"/>
    <w:rsid w:val="00A74170"/>
    <w:rsid w:val="00A74399"/>
    <w:rsid w:val="00A750E1"/>
    <w:rsid w:val="00A75BF1"/>
    <w:rsid w:val="00A76163"/>
    <w:rsid w:val="00A7685A"/>
    <w:rsid w:val="00A76AF3"/>
    <w:rsid w:val="00A775E0"/>
    <w:rsid w:val="00A8047C"/>
    <w:rsid w:val="00A80688"/>
    <w:rsid w:val="00A80884"/>
    <w:rsid w:val="00A81B36"/>
    <w:rsid w:val="00A82072"/>
    <w:rsid w:val="00A8251B"/>
    <w:rsid w:val="00A82602"/>
    <w:rsid w:val="00A82673"/>
    <w:rsid w:val="00A82783"/>
    <w:rsid w:val="00A82A0B"/>
    <w:rsid w:val="00A83279"/>
    <w:rsid w:val="00A832B2"/>
    <w:rsid w:val="00A834C7"/>
    <w:rsid w:val="00A840B5"/>
    <w:rsid w:val="00A8527E"/>
    <w:rsid w:val="00A85A68"/>
    <w:rsid w:val="00A85D9A"/>
    <w:rsid w:val="00A85DBF"/>
    <w:rsid w:val="00A85E84"/>
    <w:rsid w:val="00A871DA"/>
    <w:rsid w:val="00A87206"/>
    <w:rsid w:val="00A875AF"/>
    <w:rsid w:val="00A87ADC"/>
    <w:rsid w:val="00A90594"/>
    <w:rsid w:val="00A90B3E"/>
    <w:rsid w:val="00A90C7A"/>
    <w:rsid w:val="00A91D39"/>
    <w:rsid w:val="00A91E29"/>
    <w:rsid w:val="00A91FB6"/>
    <w:rsid w:val="00A91FC7"/>
    <w:rsid w:val="00A9274B"/>
    <w:rsid w:val="00A9406B"/>
    <w:rsid w:val="00A940E9"/>
    <w:rsid w:val="00A94B00"/>
    <w:rsid w:val="00A951AE"/>
    <w:rsid w:val="00A9635A"/>
    <w:rsid w:val="00A96389"/>
    <w:rsid w:val="00A9685B"/>
    <w:rsid w:val="00AA0F9F"/>
    <w:rsid w:val="00AA2257"/>
    <w:rsid w:val="00AA3523"/>
    <w:rsid w:val="00AA431F"/>
    <w:rsid w:val="00AA467D"/>
    <w:rsid w:val="00AA4DBE"/>
    <w:rsid w:val="00AA5E1E"/>
    <w:rsid w:val="00AA6F0C"/>
    <w:rsid w:val="00AA6FD2"/>
    <w:rsid w:val="00AA7540"/>
    <w:rsid w:val="00AB02AB"/>
    <w:rsid w:val="00AB0C79"/>
    <w:rsid w:val="00AB0D76"/>
    <w:rsid w:val="00AB0DE8"/>
    <w:rsid w:val="00AB1086"/>
    <w:rsid w:val="00AB14C5"/>
    <w:rsid w:val="00AB1FF5"/>
    <w:rsid w:val="00AB226F"/>
    <w:rsid w:val="00AB2510"/>
    <w:rsid w:val="00AB2892"/>
    <w:rsid w:val="00AB2D43"/>
    <w:rsid w:val="00AB2FFB"/>
    <w:rsid w:val="00AB3B0B"/>
    <w:rsid w:val="00AB4DDC"/>
    <w:rsid w:val="00AB4DE7"/>
    <w:rsid w:val="00AB5BF1"/>
    <w:rsid w:val="00AB6477"/>
    <w:rsid w:val="00AB6605"/>
    <w:rsid w:val="00AB7A02"/>
    <w:rsid w:val="00AB7C6B"/>
    <w:rsid w:val="00AC0606"/>
    <w:rsid w:val="00AC1874"/>
    <w:rsid w:val="00AC2749"/>
    <w:rsid w:val="00AC275F"/>
    <w:rsid w:val="00AC2F8B"/>
    <w:rsid w:val="00AC34E6"/>
    <w:rsid w:val="00AC39C1"/>
    <w:rsid w:val="00AC3A42"/>
    <w:rsid w:val="00AC4651"/>
    <w:rsid w:val="00AC5222"/>
    <w:rsid w:val="00AC568D"/>
    <w:rsid w:val="00AC57A1"/>
    <w:rsid w:val="00AC6682"/>
    <w:rsid w:val="00AC6CF7"/>
    <w:rsid w:val="00AC7492"/>
    <w:rsid w:val="00AC7660"/>
    <w:rsid w:val="00AD006A"/>
    <w:rsid w:val="00AD15E0"/>
    <w:rsid w:val="00AD2FD6"/>
    <w:rsid w:val="00AD3570"/>
    <w:rsid w:val="00AD36B4"/>
    <w:rsid w:val="00AD396D"/>
    <w:rsid w:val="00AD3F15"/>
    <w:rsid w:val="00AD48C5"/>
    <w:rsid w:val="00AD5D16"/>
    <w:rsid w:val="00AD62F5"/>
    <w:rsid w:val="00AD64CE"/>
    <w:rsid w:val="00AD64E3"/>
    <w:rsid w:val="00AD6A8A"/>
    <w:rsid w:val="00AD7475"/>
    <w:rsid w:val="00AD7868"/>
    <w:rsid w:val="00AD7C1B"/>
    <w:rsid w:val="00AD7EA5"/>
    <w:rsid w:val="00AE01BC"/>
    <w:rsid w:val="00AE1404"/>
    <w:rsid w:val="00AE1689"/>
    <w:rsid w:val="00AE1A81"/>
    <w:rsid w:val="00AE1BBF"/>
    <w:rsid w:val="00AE24FB"/>
    <w:rsid w:val="00AE2CDB"/>
    <w:rsid w:val="00AE2CEA"/>
    <w:rsid w:val="00AE2FE7"/>
    <w:rsid w:val="00AE34E1"/>
    <w:rsid w:val="00AE36F5"/>
    <w:rsid w:val="00AE3A22"/>
    <w:rsid w:val="00AE3F21"/>
    <w:rsid w:val="00AE4081"/>
    <w:rsid w:val="00AE42E8"/>
    <w:rsid w:val="00AE4612"/>
    <w:rsid w:val="00AE5552"/>
    <w:rsid w:val="00AE5798"/>
    <w:rsid w:val="00AE600C"/>
    <w:rsid w:val="00AE6088"/>
    <w:rsid w:val="00AE678D"/>
    <w:rsid w:val="00AE7858"/>
    <w:rsid w:val="00AE7906"/>
    <w:rsid w:val="00AF0501"/>
    <w:rsid w:val="00AF08B8"/>
    <w:rsid w:val="00AF15A9"/>
    <w:rsid w:val="00AF175E"/>
    <w:rsid w:val="00AF17CB"/>
    <w:rsid w:val="00AF1ED4"/>
    <w:rsid w:val="00AF3673"/>
    <w:rsid w:val="00AF3FF3"/>
    <w:rsid w:val="00AF46AE"/>
    <w:rsid w:val="00AF4F80"/>
    <w:rsid w:val="00AF523D"/>
    <w:rsid w:val="00AF5252"/>
    <w:rsid w:val="00AF5DD7"/>
    <w:rsid w:val="00AF6112"/>
    <w:rsid w:val="00AF622E"/>
    <w:rsid w:val="00AF6360"/>
    <w:rsid w:val="00AF66C4"/>
    <w:rsid w:val="00AF6ADC"/>
    <w:rsid w:val="00AF7848"/>
    <w:rsid w:val="00B00540"/>
    <w:rsid w:val="00B00EF0"/>
    <w:rsid w:val="00B011E0"/>
    <w:rsid w:val="00B01315"/>
    <w:rsid w:val="00B01C43"/>
    <w:rsid w:val="00B01C86"/>
    <w:rsid w:val="00B01D5E"/>
    <w:rsid w:val="00B02A56"/>
    <w:rsid w:val="00B02C44"/>
    <w:rsid w:val="00B02C5A"/>
    <w:rsid w:val="00B03C06"/>
    <w:rsid w:val="00B03C7D"/>
    <w:rsid w:val="00B04335"/>
    <w:rsid w:val="00B04507"/>
    <w:rsid w:val="00B047F6"/>
    <w:rsid w:val="00B051E2"/>
    <w:rsid w:val="00B054DC"/>
    <w:rsid w:val="00B06357"/>
    <w:rsid w:val="00B06649"/>
    <w:rsid w:val="00B068D0"/>
    <w:rsid w:val="00B069B4"/>
    <w:rsid w:val="00B078E6"/>
    <w:rsid w:val="00B10675"/>
    <w:rsid w:val="00B108C4"/>
    <w:rsid w:val="00B1110D"/>
    <w:rsid w:val="00B111DC"/>
    <w:rsid w:val="00B11437"/>
    <w:rsid w:val="00B1181B"/>
    <w:rsid w:val="00B11AEF"/>
    <w:rsid w:val="00B120C4"/>
    <w:rsid w:val="00B126D5"/>
    <w:rsid w:val="00B12C93"/>
    <w:rsid w:val="00B12CA2"/>
    <w:rsid w:val="00B13371"/>
    <w:rsid w:val="00B134F1"/>
    <w:rsid w:val="00B1381A"/>
    <w:rsid w:val="00B13A8B"/>
    <w:rsid w:val="00B14508"/>
    <w:rsid w:val="00B15132"/>
    <w:rsid w:val="00B15338"/>
    <w:rsid w:val="00B153EC"/>
    <w:rsid w:val="00B15EF2"/>
    <w:rsid w:val="00B17154"/>
    <w:rsid w:val="00B172C2"/>
    <w:rsid w:val="00B17BE7"/>
    <w:rsid w:val="00B202B8"/>
    <w:rsid w:val="00B206E7"/>
    <w:rsid w:val="00B207C0"/>
    <w:rsid w:val="00B20851"/>
    <w:rsid w:val="00B2105E"/>
    <w:rsid w:val="00B21254"/>
    <w:rsid w:val="00B216F2"/>
    <w:rsid w:val="00B21B79"/>
    <w:rsid w:val="00B21DD7"/>
    <w:rsid w:val="00B22072"/>
    <w:rsid w:val="00B22EE1"/>
    <w:rsid w:val="00B23677"/>
    <w:rsid w:val="00B23685"/>
    <w:rsid w:val="00B238EB"/>
    <w:rsid w:val="00B241F7"/>
    <w:rsid w:val="00B2426B"/>
    <w:rsid w:val="00B24294"/>
    <w:rsid w:val="00B246A9"/>
    <w:rsid w:val="00B246D9"/>
    <w:rsid w:val="00B25375"/>
    <w:rsid w:val="00B25B54"/>
    <w:rsid w:val="00B26256"/>
    <w:rsid w:val="00B26337"/>
    <w:rsid w:val="00B26BF3"/>
    <w:rsid w:val="00B26ECD"/>
    <w:rsid w:val="00B270E0"/>
    <w:rsid w:val="00B274FF"/>
    <w:rsid w:val="00B27907"/>
    <w:rsid w:val="00B302CB"/>
    <w:rsid w:val="00B3031E"/>
    <w:rsid w:val="00B31588"/>
    <w:rsid w:val="00B31D25"/>
    <w:rsid w:val="00B326B9"/>
    <w:rsid w:val="00B32C2E"/>
    <w:rsid w:val="00B32D72"/>
    <w:rsid w:val="00B33555"/>
    <w:rsid w:val="00B33E35"/>
    <w:rsid w:val="00B341B1"/>
    <w:rsid w:val="00B34854"/>
    <w:rsid w:val="00B34862"/>
    <w:rsid w:val="00B353C2"/>
    <w:rsid w:val="00B37174"/>
    <w:rsid w:val="00B37C7A"/>
    <w:rsid w:val="00B40081"/>
    <w:rsid w:val="00B409FD"/>
    <w:rsid w:val="00B40FF2"/>
    <w:rsid w:val="00B4127B"/>
    <w:rsid w:val="00B41ACD"/>
    <w:rsid w:val="00B428C6"/>
    <w:rsid w:val="00B42A5D"/>
    <w:rsid w:val="00B42F1B"/>
    <w:rsid w:val="00B43D86"/>
    <w:rsid w:val="00B44085"/>
    <w:rsid w:val="00B452C0"/>
    <w:rsid w:val="00B45D24"/>
    <w:rsid w:val="00B46386"/>
    <w:rsid w:val="00B4781B"/>
    <w:rsid w:val="00B47A60"/>
    <w:rsid w:val="00B500D0"/>
    <w:rsid w:val="00B507E4"/>
    <w:rsid w:val="00B50AEE"/>
    <w:rsid w:val="00B50E2E"/>
    <w:rsid w:val="00B50EB0"/>
    <w:rsid w:val="00B51277"/>
    <w:rsid w:val="00B518D3"/>
    <w:rsid w:val="00B51B09"/>
    <w:rsid w:val="00B51D92"/>
    <w:rsid w:val="00B51FA0"/>
    <w:rsid w:val="00B52D36"/>
    <w:rsid w:val="00B531B4"/>
    <w:rsid w:val="00B5366A"/>
    <w:rsid w:val="00B53C09"/>
    <w:rsid w:val="00B5406C"/>
    <w:rsid w:val="00B546C1"/>
    <w:rsid w:val="00B54729"/>
    <w:rsid w:val="00B54F95"/>
    <w:rsid w:val="00B55168"/>
    <w:rsid w:val="00B5533B"/>
    <w:rsid w:val="00B553BD"/>
    <w:rsid w:val="00B558AB"/>
    <w:rsid w:val="00B56957"/>
    <w:rsid w:val="00B56DC9"/>
    <w:rsid w:val="00B56E5A"/>
    <w:rsid w:val="00B57037"/>
    <w:rsid w:val="00B5706A"/>
    <w:rsid w:val="00B6054D"/>
    <w:rsid w:val="00B60608"/>
    <w:rsid w:val="00B60960"/>
    <w:rsid w:val="00B613CF"/>
    <w:rsid w:val="00B62161"/>
    <w:rsid w:val="00B630F5"/>
    <w:rsid w:val="00B637E1"/>
    <w:rsid w:val="00B63C5B"/>
    <w:rsid w:val="00B647D5"/>
    <w:rsid w:val="00B648D1"/>
    <w:rsid w:val="00B64FE2"/>
    <w:rsid w:val="00B650EE"/>
    <w:rsid w:val="00B657AC"/>
    <w:rsid w:val="00B65A9A"/>
    <w:rsid w:val="00B66E32"/>
    <w:rsid w:val="00B67428"/>
    <w:rsid w:val="00B674E7"/>
    <w:rsid w:val="00B70033"/>
    <w:rsid w:val="00B7032C"/>
    <w:rsid w:val="00B704C5"/>
    <w:rsid w:val="00B7062D"/>
    <w:rsid w:val="00B70738"/>
    <w:rsid w:val="00B72A5D"/>
    <w:rsid w:val="00B7335A"/>
    <w:rsid w:val="00B73ED7"/>
    <w:rsid w:val="00B74046"/>
    <w:rsid w:val="00B74EEF"/>
    <w:rsid w:val="00B75824"/>
    <w:rsid w:val="00B75D32"/>
    <w:rsid w:val="00B76314"/>
    <w:rsid w:val="00B773D8"/>
    <w:rsid w:val="00B77436"/>
    <w:rsid w:val="00B77C96"/>
    <w:rsid w:val="00B80186"/>
    <w:rsid w:val="00B80918"/>
    <w:rsid w:val="00B81662"/>
    <w:rsid w:val="00B82D20"/>
    <w:rsid w:val="00B836EA"/>
    <w:rsid w:val="00B840B9"/>
    <w:rsid w:val="00B842C9"/>
    <w:rsid w:val="00B84573"/>
    <w:rsid w:val="00B8529B"/>
    <w:rsid w:val="00B85720"/>
    <w:rsid w:val="00B85D9A"/>
    <w:rsid w:val="00B85DBB"/>
    <w:rsid w:val="00B8675A"/>
    <w:rsid w:val="00B867CD"/>
    <w:rsid w:val="00B86C79"/>
    <w:rsid w:val="00B87686"/>
    <w:rsid w:val="00B87A05"/>
    <w:rsid w:val="00B87C6E"/>
    <w:rsid w:val="00B87FD7"/>
    <w:rsid w:val="00B91186"/>
    <w:rsid w:val="00B91506"/>
    <w:rsid w:val="00B91B91"/>
    <w:rsid w:val="00B91EF4"/>
    <w:rsid w:val="00B920AF"/>
    <w:rsid w:val="00B92610"/>
    <w:rsid w:val="00B92873"/>
    <w:rsid w:val="00B92886"/>
    <w:rsid w:val="00B92DE4"/>
    <w:rsid w:val="00B9360F"/>
    <w:rsid w:val="00B9463B"/>
    <w:rsid w:val="00B95105"/>
    <w:rsid w:val="00B952FB"/>
    <w:rsid w:val="00B967B8"/>
    <w:rsid w:val="00B96877"/>
    <w:rsid w:val="00B969CD"/>
    <w:rsid w:val="00B96D54"/>
    <w:rsid w:val="00B97182"/>
    <w:rsid w:val="00B975F3"/>
    <w:rsid w:val="00B976B0"/>
    <w:rsid w:val="00B97846"/>
    <w:rsid w:val="00B97B00"/>
    <w:rsid w:val="00B97BB4"/>
    <w:rsid w:val="00BA0FBE"/>
    <w:rsid w:val="00BA1416"/>
    <w:rsid w:val="00BA1476"/>
    <w:rsid w:val="00BA2B85"/>
    <w:rsid w:val="00BA2C06"/>
    <w:rsid w:val="00BA328A"/>
    <w:rsid w:val="00BA38DA"/>
    <w:rsid w:val="00BA3BAA"/>
    <w:rsid w:val="00BA4240"/>
    <w:rsid w:val="00BA424C"/>
    <w:rsid w:val="00BA42D9"/>
    <w:rsid w:val="00BA4480"/>
    <w:rsid w:val="00BA4906"/>
    <w:rsid w:val="00BA5A8F"/>
    <w:rsid w:val="00BA6124"/>
    <w:rsid w:val="00BA766B"/>
    <w:rsid w:val="00BA7C07"/>
    <w:rsid w:val="00BB0B64"/>
    <w:rsid w:val="00BB0D06"/>
    <w:rsid w:val="00BB0F7D"/>
    <w:rsid w:val="00BB1103"/>
    <w:rsid w:val="00BB14E5"/>
    <w:rsid w:val="00BB15CD"/>
    <w:rsid w:val="00BB1A70"/>
    <w:rsid w:val="00BB2273"/>
    <w:rsid w:val="00BB2651"/>
    <w:rsid w:val="00BB3118"/>
    <w:rsid w:val="00BB3881"/>
    <w:rsid w:val="00BB3CB9"/>
    <w:rsid w:val="00BB3FFE"/>
    <w:rsid w:val="00BB459F"/>
    <w:rsid w:val="00BB51DA"/>
    <w:rsid w:val="00BB5515"/>
    <w:rsid w:val="00BB5629"/>
    <w:rsid w:val="00BB5DAA"/>
    <w:rsid w:val="00BB61D7"/>
    <w:rsid w:val="00BB76B9"/>
    <w:rsid w:val="00BB780B"/>
    <w:rsid w:val="00BB7D92"/>
    <w:rsid w:val="00BB7F9E"/>
    <w:rsid w:val="00BC016A"/>
    <w:rsid w:val="00BC01FC"/>
    <w:rsid w:val="00BC04A4"/>
    <w:rsid w:val="00BC052D"/>
    <w:rsid w:val="00BC0570"/>
    <w:rsid w:val="00BC0705"/>
    <w:rsid w:val="00BC07B9"/>
    <w:rsid w:val="00BC0F77"/>
    <w:rsid w:val="00BC101B"/>
    <w:rsid w:val="00BC17C0"/>
    <w:rsid w:val="00BC17CC"/>
    <w:rsid w:val="00BC1D13"/>
    <w:rsid w:val="00BC2EE1"/>
    <w:rsid w:val="00BC33E4"/>
    <w:rsid w:val="00BC356D"/>
    <w:rsid w:val="00BC35CB"/>
    <w:rsid w:val="00BC3649"/>
    <w:rsid w:val="00BC3757"/>
    <w:rsid w:val="00BC3B65"/>
    <w:rsid w:val="00BC3DEC"/>
    <w:rsid w:val="00BC3EB3"/>
    <w:rsid w:val="00BC4247"/>
    <w:rsid w:val="00BC4AF1"/>
    <w:rsid w:val="00BC51A5"/>
    <w:rsid w:val="00BC5B3B"/>
    <w:rsid w:val="00BC5FB8"/>
    <w:rsid w:val="00BC6080"/>
    <w:rsid w:val="00BC64CC"/>
    <w:rsid w:val="00BC65E7"/>
    <w:rsid w:val="00BC7926"/>
    <w:rsid w:val="00BD08F7"/>
    <w:rsid w:val="00BD0EBC"/>
    <w:rsid w:val="00BD0F48"/>
    <w:rsid w:val="00BD129B"/>
    <w:rsid w:val="00BD2016"/>
    <w:rsid w:val="00BD23A7"/>
    <w:rsid w:val="00BD2FB7"/>
    <w:rsid w:val="00BD3F42"/>
    <w:rsid w:val="00BD402F"/>
    <w:rsid w:val="00BD406B"/>
    <w:rsid w:val="00BD5343"/>
    <w:rsid w:val="00BD63DB"/>
    <w:rsid w:val="00BD6B08"/>
    <w:rsid w:val="00BD6B0E"/>
    <w:rsid w:val="00BD6D0E"/>
    <w:rsid w:val="00BD6F55"/>
    <w:rsid w:val="00BD7364"/>
    <w:rsid w:val="00BD73A6"/>
    <w:rsid w:val="00BD73AA"/>
    <w:rsid w:val="00BD7CF6"/>
    <w:rsid w:val="00BD7D9E"/>
    <w:rsid w:val="00BE0049"/>
    <w:rsid w:val="00BE00E2"/>
    <w:rsid w:val="00BE018C"/>
    <w:rsid w:val="00BE06C4"/>
    <w:rsid w:val="00BE0CF2"/>
    <w:rsid w:val="00BE113C"/>
    <w:rsid w:val="00BE11C4"/>
    <w:rsid w:val="00BE1242"/>
    <w:rsid w:val="00BE293A"/>
    <w:rsid w:val="00BE2FCD"/>
    <w:rsid w:val="00BE3D3B"/>
    <w:rsid w:val="00BE548C"/>
    <w:rsid w:val="00BE5A58"/>
    <w:rsid w:val="00BE5E13"/>
    <w:rsid w:val="00BE63D3"/>
    <w:rsid w:val="00BE64C3"/>
    <w:rsid w:val="00BE679C"/>
    <w:rsid w:val="00BE7065"/>
    <w:rsid w:val="00BE743A"/>
    <w:rsid w:val="00BF0441"/>
    <w:rsid w:val="00BF0AFE"/>
    <w:rsid w:val="00BF0C97"/>
    <w:rsid w:val="00BF1241"/>
    <w:rsid w:val="00BF25CA"/>
    <w:rsid w:val="00BF3300"/>
    <w:rsid w:val="00BF3614"/>
    <w:rsid w:val="00BF3AFF"/>
    <w:rsid w:val="00BF3E95"/>
    <w:rsid w:val="00BF4CB6"/>
    <w:rsid w:val="00BF55AF"/>
    <w:rsid w:val="00BF6891"/>
    <w:rsid w:val="00BF6F95"/>
    <w:rsid w:val="00BF71F9"/>
    <w:rsid w:val="00BF74E2"/>
    <w:rsid w:val="00BF7E44"/>
    <w:rsid w:val="00C0081F"/>
    <w:rsid w:val="00C00D33"/>
    <w:rsid w:val="00C01204"/>
    <w:rsid w:val="00C01A6E"/>
    <w:rsid w:val="00C01B2F"/>
    <w:rsid w:val="00C02859"/>
    <w:rsid w:val="00C02EE8"/>
    <w:rsid w:val="00C0387C"/>
    <w:rsid w:val="00C03C6C"/>
    <w:rsid w:val="00C03D07"/>
    <w:rsid w:val="00C0426C"/>
    <w:rsid w:val="00C044C1"/>
    <w:rsid w:val="00C04686"/>
    <w:rsid w:val="00C048E1"/>
    <w:rsid w:val="00C04A42"/>
    <w:rsid w:val="00C04AF7"/>
    <w:rsid w:val="00C05E81"/>
    <w:rsid w:val="00C05E84"/>
    <w:rsid w:val="00C067A2"/>
    <w:rsid w:val="00C06D9F"/>
    <w:rsid w:val="00C06E1C"/>
    <w:rsid w:val="00C07752"/>
    <w:rsid w:val="00C07EF8"/>
    <w:rsid w:val="00C07FA6"/>
    <w:rsid w:val="00C11164"/>
    <w:rsid w:val="00C111D1"/>
    <w:rsid w:val="00C11B79"/>
    <w:rsid w:val="00C11FCC"/>
    <w:rsid w:val="00C11FD8"/>
    <w:rsid w:val="00C12E6C"/>
    <w:rsid w:val="00C12F98"/>
    <w:rsid w:val="00C130C1"/>
    <w:rsid w:val="00C13342"/>
    <w:rsid w:val="00C137AB"/>
    <w:rsid w:val="00C13FC7"/>
    <w:rsid w:val="00C14175"/>
    <w:rsid w:val="00C1451A"/>
    <w:rsid w:val="00C14A52"/>
    <w:rsid w:val="00C151C1"/>
    <w:rsid w:val="00C15264"/>
    <w:rsid w:val="00C165AB"/>
    <w:rsid w:val="00C16776"/>
    <w:rsid w:val="00C1690F"/>
    <w:rsid w:val="00C17960"/>
    <w:rsid w:val="00C1798B"/>
    <w:rsid w:val="00C17C0F"/>
    <w:rsid w:val="00C17F37"/>
    <w:rsid w:val="00C201BF"/>
    <w:rsid w:val="00C20694"/>
    <w:rsid w:val="00C207D6"/>
    <w:rsid w:val="00C20DF6"/>
    <w:rsid w:val="00C20E49"/>
    <w:rsid w:val="00C20F8A"/>
    <w:rsid w:val="00C21563"/>
    <w:rsid w:val="00C21844"/>
    <w:rsid w:val="00C21C1F"/>
    <w:rsid w:val="00C2217A"/>
    <w:rsid w:val="00C224A1"/>
    <w:rsid w:val="00C22A40"/>
    <w:rsid w:val="00C23436"/>
    <w:rsid w:val="00C234DD"/>
    <w:rsid w:val="00C2591F"/>
    <w:rsid w:val="00C25A35"/>
    <w:rsid w:val="00C265FD"/>
    <w:rsid w:val="00C26FB8"/>
    <w:rsid w:val="00C27391"/>
    <w:rsid w:val="00C27A74"/>
    <w:rsid w:val="00C30672"/>
    <w:rsid w:val="00C3083B"/>
    <w:rsid w:val="00C31B66"/>
    <w:rsid w:val="00C31E6B"/>
    <w:rsid w:val="00C31FEF"/>
    <w:rsid w:val="00C3200E"/>
    <w:rsid w:val="00C32C5B"/>
    <w:rsid w:val="00C32F3B"/>
    <w:rsid w:val="00C32F8C"/>
    <w:rsid w:val="00C32FAA"/>
    <w:rsid w:val="00C33525"/>
    <w:rsid w:val="00C337E3"/>
    <w:rsid w:val="00C338C4"/>
    <w:rsid w:val="00C33D47"/>
    <w:rsid w:val="00C33E69"/>
    <w:rsid w:val="00C33EFA"/>
    <w:rsid w:val="00C33F8E"/>
    <w:rsid w:val="00C34627"/>
    <w:rsid w:val="00C35661"/>
    <w:rsid w:val="00C3580D"/>
    <w:rsid w:val="00C36EB3"/>
    <w:rsid w:val="00C371B6"/>
    <w:rsid w:val="00C3770B"/>
    <w:rsid w:val="00C37A7A"/>
    <w:rsid w:val="00C37FD3"/>
    <w:rsid w:val="00C402DD"/>
    <w:rsid w:val="00C405EE"/>
    <w:rsid w:val="00C40839"/>
    <w:rsid w:val="00C40C4E"/>
    <w:rsid w:val="00C40E52"/>
    <w:rsid w:val="00C41595"/>
    <w:rsid w:val="00C41637"/>
    <w:rsid w:val="00C41840"/>
    <w:rsid w:val="00C41B5D"/>
    <w:rsid w:val="00C426A6"/>
    <w:rsid w:val="00C42C8E"/>
    <w:rsid w:val="00C42DCA"/>
    <w:rsid w:val="00C42E29"/>
    <w:rsid w:val="00C43416"/>
    <w:rsid w:val="00C43F5C"/>
    <w:rsid w:val="00C44206"/>
    <w:rsid w:val="00C44E37"/>
    <w:rsid w:val="00C4565F"/>
    <w:rsid w:val="00C4572C"/>
    <w:rsid w:val="00C4623B"/>
    <w:rsid w:val="00C46F8F"/>
    <w:rsid w:val="00C47135"/>
    <w:rsid w:val="00C471A2"/>
    <w:rsid w:val="00C472F1"/>
    <w:rsid w:val="00C475E1"/>
    <w:rsid w:val="00C47A05"/>
    <w:rsid w:val="00C47FC2"/>
    <w:rsid w:val="00C500E8"/>
    <w:rsid w:val="00C51788"/>
    <w:rsid w:val="00C52080"/>
    <w:rsid w:val="00C52230"/>
    <w:rsid w:val="00C52807"/>
    <w:rsid w:val="00C53E7B"/>
    <w:rsid w:val="00C54289"/>
    <w:rsid w:val="00C54E7C"/>
    <w:rsid w:val="00C552ED"/>
    <w:rsid w:val="00C55504"/>
    <w:rsid w:val="00C55D2C"/>
    <w:rsid w:val="00C55F58"/>
    <w:rsid w:val="00C5671F"/>
    <w:rsid w:val="00C5683E"/>
    <w:rsid w:val="00C56BD4"/>
    <w:rsid w:val="00C56E36"/>
    <w:rsid w:val="00C60276"/>
    <w:rsid w:val="00C60B66"/>
    <w:rsid w:val="00C60D6B"/>
    <w:rsid w:val="00C60E59"/>
    <w:rsid w:val="00C61230"/>
    <w:rsid w:val="00C617D9"/>
    <w:rsid w:val="00C619DA"/>
    <w:rsid w:val="00C61D73"/>
    <w:rsid w:val="00C61DD5"/>
    <w:rsid w:val="00C624BC"/>
    <w:rsid w:val="00C62591"/>
    <w:rsid w:val="00C62AE0"/>
    <w:rsid w:val="00C62AE6"/>
    <w:rsid w:val="00C62B9A"/>
    <w:rsid w:val="00C62E9B"/>
    <w:rsid w:val="00C63370"/>
    <w:rsid w:val="00C63A96"/>
    <w:rsid w:val="00C63DA1"/>
    <w:rsid w:val="00C6496B"/>
    <w:rsid w:val="00C64AA6"/>
    <w:rsid w:val="00C64D8A"/>
    <w:rsid w:val="00C65979"/>
    <w:rsid w:val="00C66876"/>
    <w:rsid w:val="00C66944"/>
    <w:rsid w:val="00C66B9E"/>
    <w:rsid w:val="00C67181"/>
    <w:rsid w:val="00C679CD"/>
    <w:rsid w:val="00C67B3A"/>
    <w:rsid w:val="00C71D9E"/>
    <w:rsid w:val="00C72B24"/>
    <w:rsid w:val="00C72B27"/>
    <w:rsid w:val="00C73295"/>
    <w:rsid w:val="00C732A6"/>
    <w:rsid w:val="00C73437"/>
    <w:rsid w:val="00C73664"/>
    <w:rsid w:val="00C738AD"/>
    <w:rsid w:val="00C73E71"/>
    <w:rsid w:val="00C73F0D"/>
    <w:rsid w:val="00C73F98"/>
    <w:rsid w:val="00C74587"/>
    <w:rsid w:val="00C74793"/>
    <w:rsid w:val="00C74B92"/>
    <w:rsid w:val="00C75DEE"/>
    <w:rsid w:val="00C75DF2"/>
    <w:rsid w:val="00C75F91"/>
    <w:rsid w:val="00C76F89"/>
    <w:rsid w:val="00C77D36"/>
    <w:rsid w:val="00C801E6"/>
    <w:rsid w:val="00C8055F"/>
    <w:rsid w:val="00C807A0"/>
    <w:rsid w:val="00C807CB"/>
    <w:rsid w:val="00C81677"/>
    <w:rsid w:val="00C816B6"/>
    <w:rsid w:val="00C8188A"/>
    <w:rsid w:val="00C8314E"/>
    <w:rsid w:val="00C83A4E"/>
    <w:rsid w:val="00C857C9"/>
    <w:rsid w:val="00C8587D"/>
    <w:rsid w:val="00C85B41"/>
    <w:rsid w:val="00C861EA"/>
    <w:rsid w:val="00C86AC1"/>
    <w:rsid w:val="00C86CE6"/>
    <w:rsid w:val="00C87A6F"/>
    <w:rsid w:val="00C87C68"/>
    <w:rsid w:val="00C900AB"/>
    <w:rsid w:val="00C90261"/>
    <w:rsid w:val="00C91AEB"/>
    <w:rsid w:val="00C92578"/>
    <w:rsid w:val="00C92880"/>
    <w:rsid w:val="00C92CE3"/>
    <w:rsid w:val="00C9365E"/>
    <w:rsid w:val="00C936D2"/>
    <w:rsid w:val="00C94122"/>
    <w:rsid w:val="00C94165"/>
    <w:rsid w:val="00C94216"/>
    <w:rsid w:val="00C9458D"/>
    <w:rsid w:val="00C9469D"/>
    <w:rsid w:val="00C94F7E"/>
    <w:rsid w:val="00C950B5"/>
    <w:rsid w:val="00C951C5"/>
    <w:rsid w:val="00C95D7B"/>
    <w:rsid w:val="00C96D26"/>
    <w:rsid w:val="00C97119"/>
    <w:rsid w:val="00C97B2F"/>
    <w:rsid w:val="00C97DE2"/>
    <w:rsid w:val="00CA01F6"/>
    <w:rsid w:val="00CA0B58"/>
    <w:rsid w:val="00CA0CA5"/>
    <w:rsid w:val="00CA129F"/>
    <w:rsid w:val="00CA16F5"/>
    <w:rsid w:val="00CA16F6"/>
    <w:rsid w:val="00CA1F5B"/>
    <w:rsid w:val="00CA2288"/>
    <w:rsid w:val="00CA2B82"/>
    <w:rsid w:val="00CA3018"/>
    <w:rsid w:val="00CA34CD"/>
    <w:rsid w:val="00CA3614"/>
    <w:rsid w:val="00CA36CD"/>
    <w:rsid w:val="00CA4147"/>
    <w:rsid w:val="00CA4A9B"/>
    <w:rsid w:val="00CA4D0E"/>
    <w:rsid w:val="00CA4F21"/>
    <w:rsid w:val="00CA535A"/>
    <w:rsid w:val="00CA56B8"/>
    <w:rsid w:val="00CA56FE"/>
    <w:rsid w:val="00CA5D99"/>
    <w:rsid w:val="00CA6565"/>
    <w:rsid w:val="00CA793E"/>
    <w:rsid w:val="00CA7C7A"/>
    <w:rsid w:val="00CB0753"/>
    <w:rsid w:val="00CB0EE5"/>
    <w:rsid w:val="00CB0FC8"/>
    <w:rsid w:val="00CB105C"/>
    <w:rsid w:val="00CB1922"/>
    <w:rsid w:val="00CB2657"/>
    <w:rsid w:val="00CB35BD"/>
    <w:rsid w:val="00CB36FD"/>
    <w:rsid w:val="00CB3A5D"/>
    <w:rsid w:val="00CB4D9D"/>
    <w:rsid w:val="00CB50A0"/>
    <w:rsid w:val="00CB649E"/>
    <w:rsid w:val="00CB677F"/>
    <w:rsid w:val="00CB6D4F"/>
    <w:rsid w:val="00CB7F2C"/>
    <w:rsid w:val="00CC046F"/>
    <w:rsid w:val="00CC1159"/>
    <w:rsid w:val="00CC1272"/>
    <w:rsid w:val="00CC12FA"/>
    <w:rsid w:val="00CC1F6F"/>
    <w:rsid w:val="00CC2224"/>
    <w:rsid w:val="00CC23AD"/>
    <w:rsid w:val="00CC3CCC"/>
    <w:rsid w:val="00CC4A19"/>
    <w:rsid w:val="00CC4BE8"/>
    <w:rsid w:val="00CC5DA0"/>
    <w:rsid w:val="00CC6139"/>
    <w:rsid w:val="00CC64EE"/>
    <w:rsid w:val="00CC66F6"/>
    <w:rsid w:val="00CC6938"/>
    <w:rsid w:val="00CC6AAD"/>
    <w:rsid w:val="00CD076B"/>
    <w:rsid w:val="00CD10F3"/>
    <w:rsid w:val="00CD1540"/>
    <w:rsid w:val="00CD1A60"/>
    <w:rsid w:val="00CD20A4"/>
    <w:rsid w:val="00CD22DE"/>
    <w:rsid w:val="00CD2587"/>
    <w:rsid w:val="00CD2EDD"/>
    <w:rsid w:val="00CD37C8"/>
    <w:rsid w:val="00CD404D"/>
    <w:rsid w:val="00CD4DA9"/>
    <w:rsid w:val="00CD4EE7"/>
    <w:rsid w:val="00CD51C6"/>
    <w:rsid w:val="00CD5229"/>
    <w:rsid w:val="00CD53C4"/>
    <w:rsid w:val="00CD55A3"/>
    <w:rsid w:val="00CD59C9"/>
    <w:rsid w:val="00CD68F5"/>
    <w:rsid w:val="00CD6BA8"/>
    <w:rsid w:val="00CD6D8B"/>
    <w:rsid w:val="00CD705D"/>
    <w:rsid w:val="00CE0598"/>
    <w:rsid w:val="00CE0A25"/>
    <w:rsid w:val="00CE15AC"/>
    <w:rsid w:val="00CE176F"/>
    <w:rsid w:val="00CE1C2B"/>
    <w:rsid w:val="00CE246F"/>
    <w:rsid w:val="00CE25FC"/>
    <w:rsid w:val="00CE29BD"/>
    <w:rsid w:val="00CE2CBB"/>
    <w:rsid w:val="00CE37FF"/>
    <w:rsid w:val="00CE4FCA"/>
    <w:rsid w:val="00CE50F0"/>
    <w:rsid w:val="00CE5212"/>
    <w:rsid w:val="00CE57E4"/>
    <w:rsid w:val="00CE5D31"/>
    <w:rsid w:val="00CE5F66"/>
    <w:rsid w:val="00CE5F7D"/>
    <w:rsid w:val="00CE69ED"/>
    <w:rsid w:val="00CE70C2"/>
    <w:rsid w:val="00CE710B"/>
    <w:rsid w:val="00CE78BE"/>
    <w:rsid w:val="00CE7FE2"/>
    <w:rsid w:val="00CF0670"/>
    <w:rsid w:val="00CF087D"/>
    <w:rsid w:val="00CF0ABE"/>
    <w:rsid w:val="00CF1934"/>
    <w:rsid w:val="00CF1F8C"/>
    <w:rsid w:val="00CF2167"/>
    <w:rsid w:val="00CF25D7"/>
    <w:rsid w:val="00CF358D"/>
    <w:rsid w:val="00CF38EC"/>
    <w:rsid w:val="00CF3D8B"/>
    <w:rsid w:val="00CF3EC8"/>
    <w:rsid w:val="00CF4097"/>
    <w:rsid w:val="00CF422F"/>
    <w:rsid w:val="00CF4DD4"/>
    <w:rsid w:val="00CF4DE8"/>
    <w:rsid w:val="00CF4E94"/>
    <w:rsid w:val="00CF5197"/>
    <w:rsid w:val="00CF5626"/>
    <w:rsid w:val="00CF5723"/>
    <w:rsid w:val="00CF58FE"/>
    <w:rsid w:val="00CF59CE"/>
    <w:rsid w:val="00CF5B6F"/>
    <w:rsid w:val="00CF6197"/>
    <w:rsid w:val="00CF6DAD"/>
    <w:rsid w:val="00CF7945"/>
    <w:rsid w:val="00CF7993"/>
    <w:rsid w:val="00CF7DF3"/>
    <w:rsid w:val="00D0002C"/>
    <w:rsid w:val="00D00A09"/>
    <w:rsid w:val="00D00F4A"/>
    <w:rsid w:val="00D01657"/>
    <w:rsid w:val="00D017A3"/>
    <w:rsid w:val="00D02341"/>
    <w:rsid w:val="00D02785"/>
    <w:rsid w:val="00D02A0B"/>
    <w:rsid w:val="00D02C75"/>
    <w:rsid w:val="00D031F9"/>
    <w:rsid w:val="00D032A2"/>
    <w:rsid w:val="00D0340B"/>
    <w:rsid w:val="00D03E98"/>
    <w:rsid w:val="00D048BE"/>
    <w:rsid w:val="00D04ABD"/>
    <w:rsid w:val="00D04DAD"/>
    <w:rsid w:val="00D05132"/>
    <w:rsid w:val="00D05336"/>
    <w:rsid w:val="00D053A5"/>
    <w:rsid w:val="00D05B54"/>
    <w:rsid w:val="00D05D0E"/>
    <w:rsid w:val="00D0619C"/>
    <w:rsid w:val="00D06A1C"/>
    <w:rsid w:val="00D1014D"/>
    <w:rsid w:val="00D104C3"/>
    <w:rsid w:val="00D10D23"/>
    <w:rsid w:val="00D10D53"/>
    <w:rsid w:val="00D11986"/>
    <w:rsid w:val="00D12898"/>
    <w:rsid w:val="00D12A9D"/>
    <w:rsid w:val="00D12B1C"/>
    <w:rsid w:val="00D12D2F"/>
    <w:rsid w:val="00D13789"/>
    <w:rsid w:val="00D1397D"/>
    <w:rsid w:val="00D139A3"/>
    <w:rsid w:val="00D148F2"/>
    <w:rsid w:val="00D149EF"/>
    <w:rsid w:val="00D15454"/>
    <w:rsid w:val="00D16F2A"/>
    <w:rsid w:val="00D17449"/>
    <w:rsid w:val="00D2100E"/>
    <w:rsid w:val="00D211E7"/>
    <w:rsid w:val="00D211F8"/>
    <w:rsid w:val="00D221AC"/>
    <w:rsid w:val="00D2234F"/>
    <w:rsid w:val="00D224F1"/>
    <w:rsid w:val="00D23B42"/>
    <w:rsid w:val="00D23EBC"/>
    <w:rsid w:val="00D2412B"/>
    <w:rsid w:val="00D24310"/>
    <w:rsid w:val="00D24AE0"/>
    <w:rsid w:val="00D25C91"/>
    <w:rsid w:val="00D26A09"/>
    <w:rsid w:val="00D27D39"/>
    <w:rsid w:val="00D304D6"/>
    <w:rsid w:val="00D30566"/>
    <w:rsid w:val="00D3080A"/>
    <w:rsid w:val="00D31AE4"/>
    <w:rsid w:val="00D32529"/>
    <w:rsid w:val="00D32BB8"/>
    <w:rsid w:val="00D33226"/>
    <w:rsid w:val="00D332DC"/>
    <w:rsid w:val="00D33F92"/>
    <w:rsid w:val="00D34468"/>
    <w:rsid w:val="00D348CA"/>
    <w:rsid w:val="00D35230"/>
    <w:rsid w:val="00D3547B"/>
    <w:rsid w:val="00D3562C"/>
    <w:rsid w:val="00D35E3D"/>
    <w:rsid w:val="00D4049C"/>
    <w:rsid w:val="00D40893"/>
    <w:rsid w:val="00D40EF7"/>
    <w:rsid w:val="00D4108E"/>
    <w:rsid w:val="00D41653"/>
    <w:rsid w:val="00D4188D"/>
    <w:rsid w:val="00D41B86"/>
    <w:rsid w:val="00D41D18"/>
    <w:rsid w:val="00D41E0B"/>
    <w:rsid w:val="00D4223F"/>
    <w:rsid w:val="00D423AB"/>
    <w:rsid w:val="00D4310A"/>
    <w:rsid w:val="00D4322A"/>
    <w:rsid w:val="00D4594D"/>
    <w:rsid w:val="00D45C44"/>
    <w:rsid w:val="00D45D9B"/>
    <w:rsid w:val="00D460EE"/>
    <w:rsid w:val="00D4709B"/>
    <w:rsid w:val="00D471BA"/>
    <w:rsid w:val="00D47B48"/>
    <w:rsid w:val="00D50151"/>
    <w:rsid w:val="00D50E68"/>
    <w:rsid w:val="00D50F9A"/>
    <w:rsid w:val="00D51895"/>
    <w:rsid w:val="00D523B1"/>
    <w:rsid w:val="00D52478"/>
    <w:rsid w:val="00D527EF"/>
    <w:rsid w:val="00D528C2"/>
    <w:rsid w:val="00D52A4E"/>
    <w:rsid w:val="00D52BEC"/>
    <w:rsid w:val="00D52F24"/>
    <w:rsid w:val="00D5317B"/>
    <w:rsid w:val="00D5319D"/>
    <w:rsid w:val="00D531BC"/>
    <w:rsid w:val="00D5397B"/>
    <w:rsid w:val="00D53C43"/>
    <w:rsid w:val="00D547AA"/>
    <w:rsid w:val="00D54C47"/>
    <w:rsid w:val="00D54FB6"/>
    <w:rsid w:val="00D555DB"/>
    <w:rsid w:val="00D55C3F"/>
    <w:rsid w:val="00D561C0"/>
    <w:rsid w:val="00D562D9"/>
    <w:rsid w:val="00D569EE"/>
    <w:rsid w:val="00D56B4A"/>
    <w:rsid w:val="00D56C3E"/>
    <w:rsid w:val="00D57870"/>
    <w:rsid w:val="00D57A5F"/>
    <w:rsid w:val="00D57C43"/>
    <w:rsid w:val="00D603F0"/>
    <w:rsid w:val="00D60A5B"/>
    <w:rsid w:val="00D62932"/>
    <w:rsid w:val="00D6324D"/>
    <w:rsid w:val="00D63295"/>
    <w:rsid w:val="00D647D1"/>
    <w:rsid w:val="00D64F82"/>
    <w:rsid w:val="00D652C3"/>
    <w:rsid w:val="00D65476"/>
    <w:rsid w:val="00D65CB9"/>
    <w:rsid w:val="00D66CCB"/>
    <w:rsid w:val="00D6760E"/>
    <w:rsid w:val="00D67C32"/>
    <w:rsid w:val="00D70333"/>
    <w:rsid w:val="00D706B5"/>
    <w:rsid w:val="00D70CE4"/>
    <w:rsid w:val="00D70E53"/>
    <w:rsid w:val="00D70F06"/>
    <w:rsid w:val="00D71B6B"/>
    <w:rsid w:val="00D71D51"/>
    <w:rsid w:val="00D71E39"/>
    <w:rsid w:val="00D7230F"/>
    <w:rsid w:val="00D725E3"/>
    <w:rsid w:val="00D73693"/>
    <w:rsid w:val="00D7389B"/>
    <w:rsid w:val="00D74164"/>
    <w:rsid w:val="00D74A35"/>
    <w:rsid w:val="00D74C38"/>
    <w:rsid w:val="00D75037"/>
    <w:rsid w:val="00D75270"/>
    <w:rsid w:val="00D769C3"/>
    <w:rsid w:val="00D805F2"/>
    <w:rsid w:val="00D818E7"/>
    <w:rsid w:val="00D81FE8"/>
    <w:rsid w:val="00D82044"/>
    <w:rsid w:val="00D8229A"/>
    <w:rsid w:val="00D82335"/>
    <w:rsid w:val="00D82F6A"/>
    <w:rsid w:val="00D836A9"/>
    <w:rsid w:val="00D83C3F"/>
    <w:rsid w:val="00D8403C"/>
    <w:rsid w:val="00D85297"/>
    <w:rsid w:val="00D866D3"/>
    <w:rsid w:val="00D86C4B"/>
    <w:rsid w:val="00D917AA"/>
    <w:rsid w:val="00D9371C"/>
    <w:rsid w:val="00D93CD4"/>
    <w:rsid w:val="00D93E4E"/>
    <w:rsid w:val="00D9425B"/>
    <w:rsid w:val="00D94724"/>
    <w:rsid w:val="00D94BB5"/>
    <w:rsid w:val="00D94D30"/>
    <w:rsid w:val="00D94ECC"/>
    <w:rsid w:val="00D95370"/>
    <w:rsid w:val="00D956D2"/>
    <w:rsid w:val="00D95B8B"/>
    <w:rsid w:val="00D95EE2"/>
    <w:rsid w:val="00D9610C"/>
    <w:rsid w:val="00D96418"/>
    <w:rsid w:val="00D965CF"/>
    <w:rsid w:val="00D96B30"/>
    <w:rsid w:val="00D96E57"/>
    <w:rsid w:val="00DA01AA"/>
    <w:rsid w:val="00DA12B3"/>
    <w:rsid w:val="00DA13C2"/>
    <w:rsid w:val="00DA15BB"/>
    <w:rsid w:val="00DA18D7"/>
    <w:rsid w:val="00DA19EE"/>
    <w:rsid w:val="00DA205B"/>
    <w:rsid w:val="00DA2EB8"/>
    <w:rsid w:val="00DA2FCD"/>
    <w:rsid w:val="00DA3628"/>
    <w:rsid w:val="00DA41D6"/>
    <w:rsid w:val="00DA42DF"/>
    <w:rsid w:val="00DA44BA"/>
    <w:rsid w:val="00DA4653"/>
    <w:rsid w:val="00DA47CD"/>
    <w:rsid w:val="00DA4B7A"/>
    <w:rsid w:val="00DA4F8F"/>
    <w:rsid w:val="00DA5982"/>
    <w:rsid w:val="00DA68DB"/>
    <w:rsid w:val="00DA6A70"/>
    <w:rsid w:val="00DA6C1A"/>
    <w:rsid w:val="00DA6FA6"/>
    <w:rsid w:val="00DA7184"/>
    <w:rsid w:val="00DA78A3"/>
    <w:rsid w:val="00DA7D7C"/>
    <w:rsid w:val="00DA7DDC"/>
    <w:rsid w:val="00DB0712"/>
    <w:rsid w:val="00DB0BC0"/>
    <w:rsid w:val="00DB11E0"/>
    <w:rsid w:val="00DB1CF8"/>
    <w:rsid w:val="00DB2472"/>
    <w:rsid w:val="00DB3FDD"/>
    <w:rsid w:val="00DB4154"/>
    <w:rsid w:val="00DB41BC"/>
    <w:rsid w:val="00DB632D"/>
    <w:rsid w:val="00DB6534"/>
    <w:rsid w:val="00DB6588"/>
    <w:rsid w:val="00DC02A9"/>
    <w:rsid w:val="00DC0522"/>
    <w:rsid w:val="00DC0813"/>
    <w:rsid w:val="00DC08A5"/>
    <w:rsid w:val="00DC09EF"/>
    <w:rsid w:val="00DC115C"/>
    <w:rsid w:val="00DC123A"/>
    <w:rsid w:val="00DC1842"/>
    <w:rsid w:val="00DC185F"/>
    <w:rsid w:val="00DC19D2"/>
    <w:rsid w:val="00DC246D"/>
    <w:rsid w:val="00DC357B"/>
    <w:rsid w:val="00DC3DB0"/>
    <w:rsid w:val="00DC400D"/>
    <w:rsid w:val="00DC418E"/>
    <w:rsid w:val="00DC4816"/>
    <w:rsid w:val="00DC4B3F"/>
    <w:rsid w:val="00DC50DB"/>
    <w:rsid w:val="00DC579C"/>
    <w:rsid w:val="00DC6061"/>
    <w:rsid w:val="00DC7092"/>
    <w:rsid w:val="00DC7A26"/>
    <w:rsid w:val="00DC7DB5"/>
    <w:rsid w:val="00DD0088"/>
    <w:rsid w:val="00DD0299"/>
    <w:rsid w:val="00DD0419"/>
    <w:rsid w:val="00DD06C9"/>
    <w:rsid w:val="00DD0794"/>
    <w:rsid w:val="00DD17C3"/>
    <w:rsid w:val="00DD1A62"/>
    <w:rsid w:val="00DD1D04"/>
    <w:rsid w:val="00DD2FFA"/>
    <w:rsid w:val="00DD3094"/>
    <w:rsid w:val="00DD3371"/>
    <w:rsid w:val="00DD398A"/>
    <w:rsid w:val="00DD3AED"/>
    <w:rsid w:val="00DD48F5"/>
    <w:rsid w:val="00DD49F9"/>
    <w:rsid w:val="00DD5460"/>
    <w:rsid w:val="00DD5D21"/>
    <w:rsid w:val="00DD61C6"/>
    <w:rsid w:val="00DD63A4"/>
    <w:rsid w:val="00DD7197"/>
    <w:rsid w:val="00DD7651"/>
    <w:rsid w:val="00DD7981"/>
    <w:rsid w:val="00DD7AEB"/>
    <w:rsid w:val="00DD7C89"/>
    <w:rsid w:val="00DD7E1A"/>
    <w:rsid w:val="00DD7E3F"/>
    <w:rsid w:val="00DE030D"/>
    <w:rsid w:val="00DE05B2"/>
    <w:rsid w:val="00DE07A5"/>
    <w:rsid w:val="00DE249D"/>
    <w:rsid w:val="00DE25B5"/>
    <w:rsid w:val="00DE2620"/>
    <w:rsid w:val="00DE297A"/>
    <w:rsid w:val="00DE33E2"/>
    <w:rsid w:val="00DE3E4D"/>
    <w:rsid w:val="00DE4A8F"/>
    <w:rsid w:val="00DE4BDB"/>
    <w:rsid w:val="00DE4C0C"/>
    <w:rsid w:val="00DE52B0"/>
    <w:rsid w:val="00DE5326"/>
    <w:rsid w:val="00DE5AD9"/>
    <w:rsid w:val="00DE5BB1"/>
    <w:rsid w:val="00DE60BE"/>
    <w:rsid w:val="00DE615D"/>
    <w:rsid w:val="00DE6BE8"/>
    <w:rsid w:val="00DE75DD"/>
    <w:rsid w:val="00DE76ED"/>
    <w:rsid w:val="00DE7A1F"/>
    <w:rsid w:val="00DF010D"/>
    <w:rsid w:val="00DF0E1A"/>
    <w:rsid w:val="00DF1035"/>
    <w:rsid w:val="00DF274B"/>
    <w:rsid w:val="00DF2B41"/>
    <w:rsid w:val="00DF2B54"/>
    <w:rsid w:val="00DF3134"/>
    <w:rsid w:val="00DF313E"/>
    <w:rsid w:val="00DF35B1"/>
    <w:rsid w:val="00DF37AC"/>
    <w:rsid w:val="00DF37FF"/>
    <w:rsid w:val="00DF39B7"/>
    <w:rsid w:val="00DF3C4B"/>
    <w:rsid w:val="00DF4E0A"/>
    <w:rsid w:val="00DF4E56"/>
    <w:rsid w:val="00DF5619"/>
    <w:rsid w:val="00DF56A5"/>
    <w:rsid w:val="00DF5A2B"/>
    <w:rsid w:val="00DF5BA4"/>
    <w:rsid w:val="00DF6643"/>
    <w:rsid w:val="00DF6DEB"/>
    <w:rsid w:val="00E01260"/>
    <w:rsid w:val="00E019CA"/>
    <w:rsid w:val="00E028E0"/>
    <w:rsid w:val="00E03870"/>
    <w:rsid w:val="00E03980"/>
    <w:rsid w:val="00E046F0"/>
    <w:rsid w:val="00E04C13"/>
    <w:rsid w:val="00E057CC"/>
    <w:rsid w:val="00E0592A"/>
    <w:rsid w:val="00E05ABE"/>
    <w:rsid w:val="00E06161"/>
    <w:rsid w:val="00E06254"/>
    <w:rsid w:val="00E062D9"/>
    <w:rsid w:val="00E065CF"/>
    <w:rsid w:val="00E067A0"/>
    <w:rsid w:val="00E07645"/>
    <w:rsid w:val="00E10106"/>
    <w:rsid w:val="00E1022E"/>
    <w:rsid w:val="00E10361"/>
    <w:rsid w:val="00E1072F"/>
    <w:rsid w:val="00E10841"/>
    <w:rsid w:val="00E10A24"/>
    <w:rsid w:val="00E1121D"/>
    <w:rsid w:val="00E115A7"/>
    <w:rsid w:val="00E115F1"/>
    <w:rsid w:val="00E12612"/>
    <w:rsid w:val="00E12CAD"/>
    <w:rsid w:val="00E12D1E"/>
    <w:rsid w:val="00E15170"/>
    <w:rsid w:val="00E1543D"/>
    <w:rsid w:val="00E15CDD"/>
    <w:rsid w:val="00E16259"/>
    <w:rsid w:val="00E162E3"/>
    <w:rsid w:val="00E168EB"/>
    <w:rsid w:val="00E17759"/>
    <w:rsid w:val="00E20115"/>
    <w:rsid w:val="00E2088B"/>
    <w:rsid w:val="00E20953"/>
    <w:rsid w:val="00E209DF"/>
    <w:rsid w:val="00E220E6"/>
    <w:rsid w:val="00E221B6"/>
    <w:rsid w:val="00E227D8"/>
    <w:rsid w:val="00E228E2"/>
    <w:rsid w:val="00E23012"/>
    <w:rsid w:val="00E233E2"/>
    <w:rsid w:val="00E23910"/>
    <w:rsid w:val="00E2404D"/>
    <w:rsid w:val="00E240AD"/>
    <w:rsid w:val="00E24231"/>
    <w:rsid w:val="00E243D7"/>
    <w:rsid w:val="00E2458B"/>
    <w:rsid w:val="00E2465A"/>
    <w:rsid w:val="00E25941"/>
    <w:rsid w:val="00E259E9"/>
    <w:rsid w:val="00E25C20"/>
    <w:rsid w:val="00E276E5"/>
    <w:rsid w:val="00E279F6"/>
    <w:rsid w:val="00E3051C"/>
    <w:rsid w:val="00E30699"/>
    <w:rsid w:val="00E3089D"/>
    <w:rsid w:val="00E31973"/>
    <w:rsid w:val="00E32231"/>
    <w:rsid w:val="00E32B90"/>
    <w:rsid w:val="00E34131"/>
    <w:rsid w:val="00E34C52"/>
    <w:rsid w:val="00E34D3D"/>
    <w:rsid w:val="00E34F45"/>
    <w:rsid w:val="00E35A1D"/>
    <w:rsid w:val="00E36362"/>
    <w:rsid w:val="00E3695D"/>
    <w:rsid w:val="00E36CDF"/>
    <w:rsid w:val="00E36CF6"/>
    <w:rsid w:val="00E371F1"/>
    <w:rsid w:val="00E375C5"/>
    <w:rsid w:val="00E37870"/>
    <w:rsid w:val="00E37ADD"/>
    <w:rsid w:val="00E37D0B"/>
    <w:rsid w:val="00E37E72"/>
    <w:rsid w:val="00E40B30"/>
    <w:rsid w:val="00E40D37"/>
    <w:rsid w:val="00E41130"/>
    <w:rsid w:val="00E4221F"/>
    <w:rsid w:val="00E4275E"/>
    <w:rsid w:val="00E43006"/>
    <w:rsid w:val="00E4325D"/>
    <w:rsid w:val="00E43489"/>
    <w:rsid w:val="00E43DC9"/>
    <w:rsid w:val="00E4501F"/>
    <w:rsid w:val="00E453B0"/>
    <w:rsid w:val="00E45418"/>
    <w:rsid w:val="00E45C79"/>
    <w:rsid w:val="00E46607"/>
    <w:rsid w:val="00E46665"/>
    <w:rsid w:val="00E466A2"/>
    <w:rsid w:val="00E467F1"/>
    <w:rsid w:val="00E4694C"/>
    <w:rsid w:val="00E47737"/>
    <w:rsid w:val="00E47FCC"/>
    <w:rsid w:val="00E50130"/>
    <w:rsid w:val="00E504C9"/>
    <w:rsid w:val="00E50955"/>
    <w:rsid w:val="00E51A8D"/>
    <w:rsid w:val="00E53C97"/>
    <w:rsid w:val="00E545A7"/>
    <w:rsid w:val="00E54A5A"/>
    <w:rsid w:val="00E54F73"/>
    <w:rsid w:val="00E56A80"/>
    <w:rsid w:val="00E56EE1"/>
    <w:rsid w:val="00E574AA"/>
    <w:rsid w:val="00E6019C"/>
    <w:rsid w:val="00E603AE"/>
    <w:rsid w:val="00E603D5"/>
    <w:rsid w:val="00E60435"/>
    <w:rsid w:val="00E60467"/>
    <w:rsid w:val="00E60926"/>
    <w:rsid w:val="00E61203"/>
    <w:rsid w:val="00E6152A"/>
    <w:rsid w:val="00E61887"/>
    <w:rsid w:val="00E62109"/>
    <w:rsid w:val="00E621A4"/>
    <w:rsid w:val="00E623AB"/>
    <w:rsid w:val="00E62776"/>
    <w:rsid w:val="00E627C2"/>
    <w:rsid w:val="00E6350B"/>
    <w:rsid w:val="00E63B1D"/>
    <w:rsid w:val="00E65CBC"/>
    <w:rsid w:val="00E65E2D"/>
    <w:rsid w:val="00E66413"/>
    <w:rsid w:val="00E66C5F"/>
    <w:rsid w:val="00E66D19"/>
    <w:rsid w:val="00E66FEB"/>
    <w:rsid w:val="00E6725B"/>
    <w:rsid w:val="00E6788C"/>
    <w:rsid w:val="00E67F95"/>
    <w:rsid w:val="00E70532"/>
    <w:rsid w:val="00E7108F"/>
    <w:rsid w:val="00E7191C"/>
    <w:rsid w:val="00E71A73"/>
    <w:rsid w:val="00E725B5"/>
    <w:rsid w:val="00E729DE"/>
    <w:rsid w:val="00E72FBB"/>
    <w:rsid w:val="00E73013"/>
    <w:rsid w:val="00E7310E"/>
    <w:rsid w:val="00E73AA5"/>
    <w:rsid w:val="00E74D99"/>
    <w:rsid w:val="00E74E38"/>
    <w:rsid w:val="00E75351"/>
    <w:rsid w:val="00E756B6"/>
    <w:rsid w:val="00E75745"/>
    <w:rsid w:val="00E757CC"/>
    <w:rsid w:val="00E75B03"/>
    <w:rsid w:val="00E75D54"/>
    <w:rsid w:val="00E76889"/>
    <w:rsid w:val="00E771C8"/>
    <w:rsid w:val="00E77B1C"/>
    <w:rsid w:val="00E80045"/>
    <w:rsid w:val="00E8074D"/>
    <w:rsid w:val="00E81A3C"/>
    <w:rsid w:val="00E8266D"/>
    <w:rsid w:val="00E82C12"/>
    <w:rsid w:val="00E83694"/>
    <w:rsid w:val="00E84759"/>
    <w:rsid w:val="00E84C1B"/>
    <w:rsid w:val="00E84C95"/>
    <w:rsid w:val="00E84D61"/>
    <w:rsid w:val="00E850C9"/>
    <w:rsid w:val="00E85375"/>
    <w:rsid w:val="00E85B9F"/>
    <w:rsid w:val="00E864E1"/>
    <w:rsid w:val="00E90067"/>
    <w:rsid w:val="00E9116A"/>
    <w:rsid w:val="00E9139E"/>
    <w:rsid w:val="00E920CB"/>
    <w:rsid w:val="00E923F2"/>
    <w:rsid w:val="00E92EF0"/>
    <w:rsid w:val="00E93082"/>
    <w:rsid w:val="00E93437"/>
    <w:rsid w:val="00E94D99"/>
    <w:rsid w:val="00E94F7C"/>
    <w:rsid w:val="00E95410"/>
    <w:rsid w:val="00E95EF5"/>
    <w:rsid w:val="00E9664F"/>
    <w:rsid w:val="00E96EAB"/>
    <w:rsid w:val="00E9712B"/>
    <w:rsid w:val="00E97130"/>
    <w:rsid w:val="00E9717A"/>
    <w:rsid w:val="00E97367"/>
    <w:rsid w:val="00E97C3B"/>
    <w:rsid w:val="00EA0941"/>
    <w:rsid w:val="00EA0E44"/>
    <w:rsid w:val="00EA0EF3"/>
    <w:rsid w:val="00EA1338"/>
    <w:rsid w:val="00EA219B"/>
    <w:rsid w:val="00EA2211"/>
    <w:rsid w:val="00EA2632"/>
    <w:rsid w:val="00EA31E9"/>
    <w:rsid w:val="00EA3550"/>
    <w:rsid w:val="00EA397C"/>
    <w:rsid w:val="00EA41B5"/>
    <w:rsid w:val="00EA512A"/>
    <w:rsid w:val="00EA525E"/>
    <w:rsid w:val="00EA5274"/>
    <w:rsid w:val="00EA62D1"/>
    <w:rsid w:val="00EB00C1"/>
    <w:rsid w:val="00EB02C2"/>
    <w:rsid w:val="00EB0455"/>
    <w:rsid w:val="00EB06DB"/>
    <w:rsid w:val="00EB14D9"/>
    <w:rsid w:val="00EB1572"/>
    <w:rsid w:val="00EB2156"/>
    <w:rsid w:val="00EB3304"/>
    <w:rsid w:val="00EB37BF"/>
    <w:rsid w:val="00EB48D9"/>
    <w:rsid w:val="00EB4AA6"/>
    <w:rsid w:val="00EB593A"/>
    <w:rsid w:val="00EB663C"/>
    <w:rsid w:val="00EB6C8F"/>
    <w:rsid w:val="00EB7214"/>
    <w:rsid w:val="00EB7BB9"/>
    <w:rsid w:val="00EC0971"/>
    <w:rsid w:val="00EC0DBF"/>
    <w:rsid w:val="00EC1016"/>
    <w:rsid w:val="00EC10FF"/>
    <w:rsid w:val="00EC1C90"/>
    <w:rsid w:val="00EC1EB1"/>
    <w:rsid w:val="00EC20F8"/>
    <w:rsid w:val="00EC34BF"/>
    <w:rsid w:val="00EC4879"/>
    <w:rsid w:val="00EC4AA2"/>
    <w:rsid w:val="00EC5F57"/>
    <w:rsid w:val="00EC5F5E"/>
    <w:rsid w:val="00EC64FC"/>
    <w:rsid w:val="00EC6F8C"/>
    <w:rsid w:val="00EC6FA4"/>
    <w:rsid w:val="00EC73C1"/>
    <w:rsid w:val="00ED0BB9"/>
    <w:rsid w:val="00ED0EDF"/>
    <w:rsid w:val="00ED179B"/>
    <w:rsid w:val="00ED187B"/>
    <w:rsid w:val="00ED1C63"/>
    <w:rsid w:val="00ED2590"/>
    <w:rsid w:val="00ED2A6B"/>
    <w:rsid w:val="00ED3326"/>
    <w:rsid w:val="00ED3380"/>
    <w:rsid w:val="00ED3459"/>
    <w:rsid w:val="00ED36B1"/>
    <w:rsid w:val="00ED4687"/>
    <w:rsid w:val="00ED4C83"/>
    <w:rsid w:val="00ED57D2"/>
    <w:rsid w:val="00ED5FFD"/>
    <w:rsid w:val="00ED6CFA"/>
    <w:rsid w:val="00ED6EDF"/>
    <w:rsid w:val="00ED71A2"/>
    <w:rsid w:val="00ED74D0"/>
    <w:rsid w:val="00ED757D"/>
    <w:rsid w:val="00ED7DEB"/>
    <w:rsid w:val="00EE00FE"/>
    <w:rsid w:val="00EE1C07"/>
    <w:rsid w:val="00EE230E"/>
    <w:rsid w:val="00EE2454"/>
    <w:rsid w:val="00EE2B20"/>
    <w:rsid w:val="00EE2B39"/>
    <w:rsid w:val="00EE3537"/>
    <w:rsid w:val="00EE37C6"/>
    <w:rsid w:val="00EE3D78"/>
    <w:rsid w:val="00EE3E9A"/>
    <w:rsid w:val="00EE40AC"/>
    <w:rsid w:val="00EE40C6"/>
    <w:rsid w:val="00EE4325"/>
    <w:rsid w:val="00EE525F"/>
    <w:rsid w:val="00EE69F0"/>
    <w:rsid w:val="00EE7787"/>
    <w:rsid w:val="00EF08E9"/>
    <w:rsid w:val="00EF3F61"/>
    <w:rsid w:val="00EF407A"/>
    <w:rsid w:val="00EF4367"/>
    <w:rsid w:val="00EF451D"/>
    <w:rsid w:val="00EF487E"/>
    <w:rsid w:val="00EF4DDF"/>
    <w:rsid w:val="00EF5376"/>
    <w:rsid w:val="00EF54A8"/>
    <w:rsid w:val="00EF5947"/>
    <w:rsid w:val="00EF63E7"/>
    <w:rsid w:val="00EF64CE"/>
    <w:rsid w:val="00EF6EF7"/>
    <w:rsid w:val="00EF77EE"/>
    <w:rsid w:val="00EF7BD2"/>
    <w:rsid w:val="00F009AC"/>
    <w:rsid w:val="00F01956"/>
    <w:rsid w:val="00F01D2E"/>
    <w:rsid w:val="00F02457"/>
    <w:rsid w:val="00F0285A"/>
    <w:rsid w:val="00F02C0D"/>
    <w:rsid w:val="00F03BC3"/>
    <w:rsid w:val="00F044A9"/>
    <w:rsid w:val="00F04A07"/>
    <w:rsid w:val="00F04C69"/>
    <w:rsid w:val="00F05422"/>
    <w:rsid w:val="00F05756"/>
    <w:rsid w:val="00F057A8"/>
    <w:rsid w:val="00F057DF"/>
    <w:rsid w:val="00F05A51"/>
    <w:rsid w:val="00F05C94"/>
    <w:rsid w:val="00F060CC"/>
    <w:rsid w:val="00F06171"/>
    <w:rsid w:val="00F06550"/>
    <w:rsid w:val="00F07954"/>
    <w:rsid w:val="00F07E73"/>
    <w:rsid w:val="00F07F3C"/>
    <w:rsid w:val="00F11F4B"/>
    <w:rsid w:val="00F12503"/>
    <w:rsid w:val="00F128CD"/>
    <w:rsid w:val="00F12DB0"/>
    <w:rsid w:val="00F12F6C"/>
    <w:rsid w:val="00F1307F"/>
    <w:rsid w:val="00F140DD"/>
    <w:rsid w:val="00F1427B"/>
    <w:rsid w:val="00F14EDA"/>
    <w:rsid w:val="00F15909"/>
    <w:rsid w:val="00F15BE0"/>
    <w:rsid w:val="00F15D4D"/>
    <w:rsid w:val="00F15FBD"/>
    <w:rsid w:val="00F15FD1"/>
    <w:rsid w:val="00F16075"/>
    <w:rsid w:val="00F160E7"/>
    <w:rsid w:val="00F173A5"/>
    <w:rsid w:val="00F174F6"/>
    <w:rsid w:val="00F17665"/>
    <w:rsid w:val="00F17FC8"/>
    <w:rsid w:val="00F204B7"/>
    <w:rsid w:val="00F20BC5"/>
    <w:rsid w:val="00F214E9"/>
    <w:rsid w:val="00F21C0F"/>
    <w:rsid w:val="00F22037"/>
    <w:rsid w:val="00F2264C"/>
    <w:rsid w:val="00F2276C"/>
    <w:rsid w:val="00F23609"/>
    <w:rsid w:val="00F2376B"/>
    <w:rsid w:val="00F245EA"/>
    <w:rsid w:val="00F2465B"/>
    <w:rsid w:val="00F24C01"/>
    <w:rsid w:val="00F24E2B"/>
    <w:rsid w:val="00F251FD"/>
    <w:rsid w:val="00F2556B"/>
    <w:rsid w:val="00F257C5"/>
    <w:rsid w:val="00F25C83"/>
    <w:rsid w:val="00F25ECE"/>
    <w:rsid w:val="00F26250"/>
    <w:rsid w:val="00F264D4"/>
    <w:rsid w:val="00F265B9"/>
    <w:rsid w:val="00F26E2B"/>
    <w:rsid w:val="00F278F6"/>
    <w:rsid w:val="00F27E93"/>
    <w:rsid w:val="00F30760"/>
    <w:rsid w:val="00F31644"/>
    <w:rsid w:val="00F31F4C"/>
    <w:rsid w:val="00F32129"/>
    <w:rsid w:val="00F321E8"/>
    <w:rsid w:val="00F3226F"/>
    <w:rsid w:val="00F3251B"/>
    <w:rsid w:val="00F32E9F"/>
    <w:rsid w:val="00F330CA"/>
    <w:rsid w:val="00F33194"/>
    <w:rsid w:val="00F33B51"/>
    <w:rsid w:val="00F3449D"/>
    <w:rsid w:val="00F34690"/>
    <w:rsid w:val="00F348F9"/>
    <w:rsid w:val="00F34AF4"/>
    <w:rsid w:val="00F35116"/>
    <w:rsid w:val="00F351CC"/>
    <w:rsid w:val="00F35424"/>
    <w:rsid w:val="00F3583C"/>
    <w:rsid w:val="00F360B0"/>
    <w:rsid w:val="00F363E4"/>
    <w:rsid w:val="00F40547"/>
    <w:rsid w:val="00F40A46"/>
    <w:rsid w:val="00F4158D"/>
    <w:rsid w:val="00F41E03"/>
    <w:rsid w:val="00F42922"/>
    <w:rsid w:val="00F42A01"/>
    <w:rsid w:val="00F42A65"/>
    <w:rsid w:val="00F44C2B"/>
    <w:rsid w:val="00F44CCD"/>
    <w:rsid w:val="00F4535F"/>
    <w:rsid w:val="00F45A33"/>
    <w:rsid w:val="00F468BC"/>
    <w:rsid w:val="00F46A87"/>
    <w:rsid w:val="00F474A9"/>
    <w:rsid w:val="00F50223"/>
    <w:rsid w:val="00F50393"/>
    <w:rsid w:val="00F504BC"/>
    <w:rsid w:val="00F505D0"/>
    <w:rsid w:val="00F50C48"/>
    <w:rsid w:val="00F529C6"/>
    <w:rsid w:val="00F529C7"/>
    <w:rsid w:val="00F529C9"/>
    <w:rsid w:val="00F52F6F"/>
    <w:rsid w:val="00F53559"/>
    <w:rsid w:val="00F53722"/>
    <w:rsid w:val="00F53CD1"/>
    <w:rsid w:val="00F54790"/>
    <w:rsid w:val="00F55823"/>
    <w:rsid w:val="00F56331"/>
    <w:rsid w:val="00F578EC"/>
    <w:rsid w:val="00F57B88"/>
    <w:rsid w:val="00F57C60"/>
    <w:rsid w:val="00F60324"/>
    <w:rsid w:val="00F60392"/>
    <w:rsid w:val="00F60553"/>
    <w:rsid w:val="00F60641"/>
    <w:rsid w:val="00F60F0B"/>
    <w:rsid w:val="00F61943"/>
    <w:rsid w:val="00F61D9B"/>
    <w:rsid w:val="00F61E94"/>
    <w:rsid w:val="00F62880"/>
    <w:rsid w:val="00F63270"/>
    <w:rsid w:val="00F63C24"/>
    <w:rsid w:val="00F64034"/>
    <w:rsid w:val="00F6471C"/>
    <w:rsid w:val="00F64A68"/>
    <w:rsid w:val="00F64C06"/>
    <w:rsid w:val="00F6523D"/>
    <w:rsid w:val="00F652FA"/>
    <w:rsid w:val="00F65CA0"/>
    <w:rsid w:val="00F7026D"/>
    <w:rsid w:val="00F7093A"/>
    <w:rsid w:val="00F7208C"/>
    <w:rsid w:val="00F721E9"/>
    <w:rsid w:val="00F726E1"/>
    <w:rsid w:val="00F72BAB"/>
    <w:rsid w:val="00F73176"/>
    <w:rsid w:val="00F741B0"/>
    <w:rsid w:val="00F749C0"/>
    <w:rsid w:val="00F758EF"/>
    <w:rsid w:val="00F75A79"/>
    <w:rsid w:val="00F7641F"/>
    <w:rsid w:val="00F7664D"/>
    <w:rsid w:val="00F76B8C"/>
    <w:rsid w:val="00F80675"/>
    <w:rsid w:val="00F807FA"/>
    <w:rsid w:val="00F817D3"/>
    <w:rsid w:val="00F818CC"/>
    <w:rsid w:val="00F818E0"/>
    <w:rsid w:val="00F82392"/>
    <w:rsid w:val="00F8284B"/>
    <w:rsid w:val="00F83667"/>
    <w:rsid w:val="00F83AA6"/>
    <w:rsid w:val="00F83BDB"/>
    <w:rsid w:val="00F84030"/>
    <w:rsid w:val="00F84232"/>
    <w:rsid w:val="00F84599"/>
    <w:rsid w:val="00F84BB4"/>
    <w:rsid w:val="00F84E8B"/>
    <w:rsid w:val="00F8507A"/>
    <w:rsid w:val="00F86525"/>
    <w:rsid w:val="00F86778"/>
    <w:rsid w:val="00F86CC5"/>
    <w:rsid w:val="00F86D80"/>
    <w:rsid w:val="00F87A17"/>
    <w:rsid w:val="00F87CE2"/>
    <w:rsid w:val="00F9148C"/>
    <w:rsid w:val="00F918C7"/>
    <w:rsid w:val="00F91DF7"/>
    <w:rsid w:val="00F92E49"/>
    <w:rsid w:val="00F930EC"/>
    <w:rsid w:val="00F932AE"/>
    <w:rsid w:val="00F936B4"/>
    <w:rsid w:val="00F947EA"/>
    <w:rsid w:val="00F94A38"/>
    <w:rsid w:val="00F952B1"/>
    <w:rsid w:val="00F955D9"/>
    <w:rsid w:val="00F95820"/>
    <w:rsid w:val="00F95C41"/>
    <w:rsid w:val="00F96B3B"/>
    <w:rsid w:val="00F96E7E"/>
    <w:rsid w:val="00F979CF"/>
    <w:rsid w:val="00FA00AE"/>
    <w:rsid w:val="00FA0108"/>
    <w:rsid w:val="00FA0B04"/>
    <w:rsid w:val="00FA1492"/>
    <w:rsid w:val="00FA1C3F"/>
    <w:rsid w:val="00FA1E27"/>
    <w:rsid w:val="00FA2B16"/>
    <w:rsid w:val="00FA2D28"/>
    <w:rsid w:val="00FA2F57"/>
    <w:rsid w:val="00FA3256"/>
    <w:rsid w:val="00FA3320"/>
    <w:rsid w:val="00FA33BA"/>
    <w:rsid w:val="00FA3A91"/>
    <w:rsid w:val="00FA3E7E"/>
    <w:rsid w:val="00FA44E0"/>
    <w:rsid w:val="00FA54EE"/>
    <w:rsid w:val="00FA5866"/>
    <w:rsid w:val="00FA5F09"/>
    <w:rsid w:val="00FA6101"/>
    <w:rsid w:val="00FA6388"/>
    <w:rsid w:val="00FA6F7C"/>
    <w:rsid w:val="00FB008F"/>
    <w:rsid w:val="00FB0358"/>
    <w:rsid w:val="00FB0CA6"/>
    <w:rsid w:val="00FB125D"/>
    <w:rsid w:val="00FB14BB"/>
    <w:rsid w:val="00FB196D"/>
    <w:rsid w:val="00FB1974"/>
    <w:rsid w:val="00FB1B59"/>
    <w:rsid w:val="00FB2648"/>
    <w:rsid w:val="00FB3410"/>
    <w:rsid w:val="00FB4A78"/>
    <w:rsid w:val="00FB5080"/>
    <w:rsid w:val="00FB50C7"/>
    <w:rsid w:val="00FB50E7"/>
    <w:rsid w:val="00FB5136"/>
    <w:rsid w:val="00FB541F"/>
    <w:rsid w:val="00FB576F"/>
    <w:rsid w:val="00FB57BA"/>
    <w:rsid w:val="00FB6A54"/>
    <w:rsid w:val="00FB6AA3"/>
    <w:rsid w:val="00FB73F1"/>
    <w:rsid w:val="00FB74DE"/>
    <w:rsid w:val="00FB7745"/>
    <w:rsid w:val="00FB7A56"/>
    <w:rsid w:val="00FC0105"/>
    <w:rsid w:val="00FC036D"/>
    <w:rsid w:val="00FC0B68"/>
    <w:rsid w:val="00FC0FC2"/>
    <w:rsid w:val="00FC1426"/>
    <w:rsid w:val="00FC14ED"/>
    <w:rsid w:val="00FC1D19"/>
    <w:rsid w:val="00FC2832"/>
    <w:rsid w:val="00FC2946"/>
    <w:rsid w:val="00FC2A40"/>
    <w:rsid w:val="00FC2FDB"/>
    <w:rsid w:val="00FC345A"/>
    <w:rsid w:val="00FC34C0"/>
    <w:rsid w:val="00FC3A87"/>
    <w:rsid w:val="00FC3E84"/>
    <w:rsid w:val="00FC418F"/>
    <w:rsid w:val="00FC4ECE"/>
    <w:rsid w:val="00FC5073"/>
    <w:rsid w:val="00FC50FC"/>
    <w:rsid w:val="00FC52E3"/>
    <w:rsid w:val="00FC55D6"/>
    <w:rsid w:val="00FC5695"/>
    <w:rsid w:val="00FC58B6"/>
    <w:rsid w:val="00FC5B8B"/>
    <w:rsid w:val="00FC62CE"/>
    <w:rsid w:val="00FC7B95"/>
    <w:rsid w:val="00FD08AF"/>
    <w:rsid w:val="00FD0EC8"/>
    <w:rsid w:val="00FD12E7"/>
    <w:rsid w:val="00FD1856"/>
    <w:rsid w:val="00FD1AEB"/>
    <w:rsid w:val="00FD239C"/>
    <w:rsid w:val="00FD324A"/>
    <w:rsid w:val="00FD391F"/>
    <w:rsid w:val="00FD4559"/>
    <w:rsid w:val="00FD4D7A"/>
    <w:rsid w:val="00FD5247"/>
    <w:rsid w:val="00FD6D69"/>
    <w:rsid w:val="00FD6DE9"/>
    <w:rsid w:val="00FD70C7"/>
    <w:rsid w:val="00FD7277"/>
    <w:rsid w:val="00FD743B"/>
    <w:rsid w:val="00FD795F"/>
    <w:rsid w:val="00FE096B"/>
    <w:rsid w:val="00FE0AA6"/>
    <w:rsid w:val="00FE10C1"/>
    <w:rsid w:val="00FE10D9"/>
    <w:rsid w:val="00FE22FA"/>
    <w:rsid w:val="00FE2442"/>
    <w:rsid w:val="00FE29EA"/>
    <w:rsid w:val="00FE2CCE"/>
    <w:rsid w:val="00FE2DA6"/>
    <w:rsid w:val="00FE3B33"/>
    <w:rsid w:val="00FE3E47"/>
    <w:rsid w:val="00FE40EB"/>
    <w:rsid w:val="00FE42D2"/>
    <w:rsid w:val="00FE5226"/>
    <w:rsid w:val="00FE55B9"/>
    <w:rsid w:val="00FE61D1"/>
    <w:rsid w:val="00FE61F6"/>
    <w:rsid w:val="00FE6530"/>
    <w:rsid w:val="00FE66D8"/>
    <w:rsid w:val="00FE67E8"/>
    <w:rsid w:val="00FE6B85"/>
    <w:rsid w:val="00FE6F36"/>
    <w:rsid w:val="00FE7052"/>
    <w:rsid w:val="00FE7625"/>
    <w:rsid w:val="00FE762F"/>
    <w:rsid w:val="00FE7A74"/>
    <w:rsid w:val="00FE7A9F"/>
    <w:rsid w:val="00FE7D50"/>
    <w:rsid w:val="00FE7E8F"/>
    <w:rsid w:val="00FF0B1B"/>
    <w:rsid w:val="00FF0E1B"/>
    <w:rsid w:val="00FF0E39"/>
    <w:rsid w:val="00FF1215"/>
    <w:rsid w:val="00FF1DA9"/>
    <w:rsid w:val="00FF2AA9"/>
    <w:rsid w:val="00FF2AFC"/>
    <w:rsid w:val="00FF3059"/>
    <w:rsid w:val="00FF312A"/>
    <w:rsid w:val="00FF3A71"/>
    <w:rsid w:val="00FF40F5"/>
    <w:rsid w:val="00FF4389"/>
    <w:rsid w:val="00FF4EE7"/>
    <w:rsid w:val="00FF55A3"/>
    <w:rsid w:val="00FF580C"/>
    <w:rsid w:val="00FF59B6"/>
    <w:rsid w:val="00FF5C73"/>
    <w:rsid w:val="00FF62C6"/>
    <w:rsid w:val="00FF65E4"/>
    <w:rsid w:val="00FF69D1"/>
    <w:rsid w:val="00FF6CDE"/>
    <w:rsid w:val="00FF72B1"/>
    <w:rsid w:val="00FF7365"/>
    <w:rsid w:val="00FF7B91"/>
    <w:rsid w:val="00FF7DAA"/>
    <w:rsid w:val="00FF7D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CDCE3"/>
  <w15:docId w15:val="{0CD77D9E-2FE6-40EB-89CB-6528E4BD4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B4807"/>
    <w:pPr>
      <w:spacing w:before="180"/>
    </w:pPr>
    <w:rPr>
      <w:rFonts w:ascii="Times New Roman" w:eastAsia="Times New Roman" w:hAnsi="Times New Roman"/>
      <w:sz w:val="24"/>
      <w:lang w:eastAsia="en-US"/>
    </w:rPr>
  </w:style>
  <w:style w:type="paragraph" w:styleId="Titre1">
    <w:name w:val="heading 1"/>
    <w:basedOn w:val="Titrebase"/>
    <w:next w:val="Corpsdetexte"/>
    <w:link w:val="Titre1Car"/>
    <w:qFormat/>
    <w:rsid w:val="00C130C1"/>
    <w:pPr>
      <w:keepLines w:val="0"/>
      <w:numPr>
        <w:numId w:val="15"/>
      </w:numPr>
      <w:tabs>
        <w:tab w:val="num" w:pos="426"/>
      </w:tabs>
      <w:overflowPunct/>
      <w:autoSpaceDE/>
      <w:autoSpaceDN/>
      <w:adjustRightInd/>
      <w:spacing w:after="120" w:line="240" w:lineRule="auto"/>
      <w:ind w:left="425" w:hanging="425"/>
      <w:jc w:val="left"/>
      <w:outlineLvl w:val="0"/>
    </w:pPr>
    <w:rPr>
      <w:caps/>
      <w:sz w:val="24"/>
      <w:u w:val="single"/>
    </w:rPr>
  </w:style>
  <w:style w:type="paragraph" w:styleId="Titre2">
    <w:name w:val="heading 2"/>
    <w:basedOn w:val="Normal"/>
    <w:next w:val="Corpsdetexte"/>
    <w:link w:val="Titre2Car"/>
    <w:qFormat/>
    <w:rsid w:val="00C130C1"/>
    <w:pPr>
      <w:keepNext/>
      <w:numPr>
        <w:ilvl w:val="1"/>
        <w:numId w:val="15"/>
      </w:numPr>
      <w:tabs>
        <w:tab w:val="left" w:pos="426"/>
      </w:tabs>
      <w:spacing w:before="240"/>
      <w:ind w:left="578" w:hanging="578"/>
      <w:outlineLvl w:val="1"/>
    </w:pPr>
    <w:rPr>
      <w:rFonts w:ascii="Arial Narrow" w:eastAsia="Calibri" w:hAnsi="Arial Narrow"/>
      <w:b/>
      <w:smallCaps/>
      <w:sz w:val="22"/>
      <w:szCs w:val="22"/>
      <w:u w:val="single"/>
    </w:rPr>
  </w:style>
  <w:style w:type="paragraph" w:styleId="Titre3">
    <w:name w:val="heading 3"/>
    <w:basedOn w:val="Titre2"/>
    <w:next w:val="Corpsdetexte"/>
    <w:link w:val="Titre3Car"/>
    <w:qFormat/>
    <w:rsid w:val="00930E35"/>
    <w:pPr>
      <w:numPr>
        <w:ilvl w:val="2"/>
      </w:numPr>
      <w:tabs>
        <w:tab w:val="clear" w:pos="426"/>
        <w:tab w:val="left" w:pos="567"/>
        <w:tab w:val="num" w:pos="721"/>
        <w:tab w:val="left" w:pos="794"/>
      </w:tabs>
      <w:ind w:left="709" w:hanging="709"/>
      <w:outlineLvl w:val="2"/>
    </w:pPr>
    <w:rPr>
      <w:iCs/>
      <w:smallCaps w:val="0"/>
    </w:rPr>
  </w:style>
  <w:style w:type="paragraph" w:styleId="Titre4">
    <w:name w:val="heading 4"/>
    <w:basedOn w:val="Normal"/>
    <w:next w:val="Normal"/>
    <w:link w:val="Titre4Car"/>
    <w:qFormat/>
    <w:rsid w:val="00D35230"/>
    <w:pPr>
      <w:keepNext/>
      <w:keepLines/>
      <w:spacing w:before="240"/>
      <w:outlineLvl w:val="3"/>
    </w:pPr>
    <w:rPr>
      <w:rFonts w:ascii="Arial Narrow" w:eastAsia="Calibri" w:hAnsi="Arial Narrow"/>
      <w:b/>
      <w:bCs/>
      <w:iCs/>
      <w:caps/>
      <w:sz w:val="22"/>
    </w:rPr>
  </w:style>
  <w:style w:type="paragraph" w:styleId="Titre5">
    <w:name w:val="heading 5"/>
    <w:basedOn w:val="Normal"/>
    <w:next w:val="Normal"/>
    <w:link w:val="Titre5Car"/>
    <w:qFormat/>
    <w:rsid w:val="00192473"/>
    <w:pPr>
      <w:keepNext/>
      <w:keepLines/>
      <w:numPr>
        <w:numId w:val="20"/>
      </w:numPr>
      <w:spacing w:before="200"/>
      <w:ind w:left="284" w:hanging="284"/>
      <w:outlineLvl w:val="4"/>
    </w:pPr>
    <w:rPr>
      <w:rFonts w:ascii="Arial Narrow" w:eastAsia="Calibri" w:hAnsi="Arial Narrow"/>
      <w:b/>
      <w:sz w:val="20"/>
    </w:rPr>
  </w:style>
  <w:style w:type="paragraph" w:styleId="Titre6">
    <w:name w:val="heading 6"/>
    <w:basedOn w:val="Normal"/>
    <w:next w:val="Normal"/>
    <w:link w:val="Titre6Car"/>
    <w:qFormat/>
    <w:rsid w:val="003C76FA"/>
    <w:pPr>
      <w:keepNext/>
      <w:keepLines/>
      <w:spacing w:before="200"/>
      <w:outlineLvl w:val="5"/>
    </w:pPr>
    <w:rPr>
      <w:rFonts w:ascii="Cambria" w:eastAsia="Calibri" w:hAnsi="Cambria"/>
      <w:i/>
      <w:iCs/>
      <w:color w:val="243F60"/>
      <w:sz w:val="20"/>
    </w:rPr>
  </w:style>
  <w:style w:type="paragraph" w:styleId="Titre7">
    <w:name w:val="heading 7"/>
    <w:basedOn w:val="Normal"/>
    <w:next w:val="Normal"/>
    <w:link w:val="Titre7Car"/>
    <w:qFormat/>
    <w:rsid w:val="003C76FA"/>
    <w:pPr>
      <w:spacing w:before="240" w:after="60"/>
      <w:outlineLvl w:val="6"/>
    </w:pPr>
    <w:rPr>
      <w:szCs w:val="24"/>
    </w:rPr>
  </w:style>
  <w:style w:type="paragraph" w:styleId="Titre8">
    <w:name w:val="heading 8"/>
    <w:basedOn w:val="Normal"/>
    <w:next w:val="Normal"/>
    <w:link w:val="Titre8Car"/>
    <w:qFormat/>
    <w:rsid w:val="003C76FA"/>
    <w:pPr>
      <w:spacing w:before="240" w:after="60"/>
      <w:outlineLvl w:val="7"/>
    </w:pPr>
    <w:rPr>
      <w:i/>
      <w:iCs/>
      <w:szCs w:val="24"/>
    </w:rPr>
  </w:style>
  <w:style w:type="paragraph" w:styleId="Titre9">
    <w:name w:val="heading 9"/>
    <w:basedOn w:val="Normal"/>
    <w:next w:val="Normal"/>
    <w:link w:val="Titre9Car"/>
    <w:qFormat/>
    <w:rsid w:val="003C76FA"/>
    <w:pPr>
      <w:spacing w:before="240" w:after="60"/>
      <w:outlineLvl w:val="8"/>
    </w:pPr>
    <w:rPr>
      <w:rFonts w:ascii="Arial" w:hAnsi="Arial"/>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C130C1"/>
    <w:rPr>
      <w:rFonts w:ascii="Arial Narrow" w:hAnsi="Arial Narrow"/>
      <w:b/>
      <w:caps/>
      <w:sz w:val="24"/>
      <w:szCs w:val="24"/>
      <w:u w:val="single"/>
    </w:rPr>
  </w:style>
  <w:style w:type="character" w:customStyle="1" w:styleId="Titre2Car">
    <w:name w:val="Titre 2 Car"/>
    <w:link w:val="Titre2"/>
    <w:rsid w:val="00C130C1"/>
    <w:rPr>
      <w:rFonts w:ascii="Arial Narrow" w:hAnsi="Arial Narrow"/>
      <w:b/>
      <w:smallCaps/>
      <w:sz w:val="22"/>
      <w:szCs w:val="22"/>
      <w:u w:val="single"/>
      <w:lang w:eastAsia="en-US"/>
    </w:rPr>
  </w:style>
  <w:style w:type="character" w:customStyle="1" w:styleId="Titre3Car">
    <w:name w:val="Titre 3 Car"/>
    <w:link w:val="Titre3"/>
    <w:rsid w:val="00930E35"/>
    <w:rPr>
      <w:rFonts w:ascii="Arial Narrow" w:hAnsi="Arial Narrow"/>
      <w:b/>
      <w:iCs/>
      <w:sz w:val="22"/>
      <w:szCs w:val="22"/>
      <w:lang w:eastAsia="en-US"/>
    </w:rPr>
  </w:style>
  <w:style w:type="character" w:customStyle="1" w:styleId="Titre4Car">
    <w:name w:val="Titre 4 Car"/>
    <w:link w:val="Titre4"/>
    <w:rsid w:val="00D35230"/>
    <w:rPr>
      <w:rFonts w:ascii="Arial Narrow" w:hAnsi="Arial Narrow"/>
      <w:b/>
      <w:bCs/>
      <w:iCs/>
      <w:caps/>
      <w:sz w:val="22"/>
    </w:rPr>
  </w:style>
  <w:style w:type="character" w:customStyle="1" w:styleId="Titre5Car">
    <w:name w:val="Titre 5 Car"/>
    <w:link w:val="Titre5"/>
    <w:rsid w:val="00192473"/>
    <w:rPr>
      <w:rFonts w:ascii="Arial Narrow" w:hAnsi="Arial Narrow"/>
      <w:b/>
      <w:lang w:eastAsia="en-US"/>
    </w:rPr>
  </w:style>
  <w:style w:type="character" w:customStyle="1" w:styleId="Titre6Car">
    <w:name w:val="Titre 6 Car"/>
    <w:link w:val="Titre6"/>
    <w:rsid w:val="003C76FA"/>
    <w:rPr>
      <w:rFonts w:ascii="Cambria" w:eastAsia="Calibri" w:hAnsi="Cambria" w:cs="Times New Roman"/>
      <w:i/>
      <w:iCs/>
      <w:color w:val="243F60"/>
      <w:sz w:val="20"/>
      <w:szCs w:val="20"/>
    </w:rPr>
  </w:style>
  <w:style w:type="character" w:customStyle="1" w:styleId="Titre7Car">
    <w:name w:val="Titre 7 Car"/>
    <w:link w:val="Titre7"/>
    <w:rsid w:val="003C76FA"/>
    <w:rPr>
      <w:rFonts w:ascii="Times New Roman" w:eastAsia="Times New Roman" w:hAnsi="Times New Roman" w:cs="Times New Roman"/>
      <w:sz w:val="24"/>
      <w:szCs w:val="24"/>
    </w:rPr>
  </w:style>
  <w:style w:type="character" w:customStyle="1" w:styleId="Titre8Car">
    <w:name w:val="Titre 8 Car"/>
    <w:link w:val="Titre8"/>
    <w:rsid w:val="003C76FA"/>
    <w:rPr>
      <w:rFonts w:ascii="Times New Roman" w:eastAsia="Times New Roman" w:hAnsi="Times New Roman" w:cs="Times New Roman"/>
      <w:i/>
      <w:iCs/>
      <w:sz w:val="24"/>
      <w:szCs w:val="24"/>
    </w:rPr>
  </w:style>
  <w:style w:type="character" w:customStyle="1" w:styleId="Titre9Car">
    <w:name w:val="Titre 9 Car"/>
    <w:link w:val="Titre9"/>
    <w:rsid w:val="003C76FA"/>
    <w:rPr>
      <w:rFonts w:ascii="Arial" w:eastAsia="Times New Roman" w:hAnsi="Arial" w:cs="Times New Roman"/>
      <w:sz w:val="20"/>
      <w:szCs w:val="20"/>
    </w:rPr>
  </w:style>
  <w:style w:type="character" w:styleId="Lienhypertexte">
    <w:name w:val="Hyperlink"/>
    <w:uiPriority w:val="99"/>
    <w:unhideWhenUsed/>
    <w:rsid w:val="003C76FA"/>
    <w:rPr>
      <w:rFonts w:ascii="Times New Roman" w:hAnsi="Times New Roman" w:cs="Times New Roman" w:hint="default"/>
      <w:color w:val="0000FF"/>
      <w:u w:val="single"/>
      <w:lang w:val="fr-FR" w:bidi="ar-SA"/>
    </w:rPr>
  </w:style>
  <w:style w:type="character" w:styleId="Lienhypertextesuivivisit">
    <w:name w:val="FollowedHyperlink"/>
    <w:semiHidden/>
    <w:unhideWhenUsed/>
    <w:rsid w:val="003C76FA"/>
    <w:rPr>
      <w:rFonts w:ascii="Times New Roman" w:hAnsi="Times New Roman" w:cs="Times New Roman" w:hint="default"/>
      <w:color w:val="800080"/>
      <w:u w:val="single"/>
      <w:lang w:val="fr-FR" w:bidi="ar-SA"/>
    </w:rPr>
  </w:style>
  <w:style w:type="character" w:styleId="Accentuation">
    <w:name w:val="Emphasis"/>
    <w:qFormat/>
    <w:rsid w:val="003C76FA"/>
    <w:rPr>
      <w:rFonts w:ascii="Times New Roman" w:hAnsi="Times New Roman" w:cs="Times New Roman" w:hint="default"/>
      <w:i/>
      <w:iCs/>
      <w:lang w:val="fr-FR" w:bidi="ar-SA"/>
    </w:rPr>
  </w:style>
  <w:style w:type="paragraph" w:styleId="Corpsdetexte">
    <w:name w:val="Body Text"/>
    <w:basedOn w:val="Normal"/>
    <w:link w:val="CorpsdetexteCar"/>
    <w:unhideWhenUsed/>
    <w:rsid w:val="00110110"/>
    <w:pPr>
      <w:jc w:val="both"/>
    </w:pPr>
    <w:rPr>
      <w:rFonts w:ascii="Arial Narrow" w:eastAsia="Calibri" w:hAnsi="Arial Narrow"/>
      <w:sz w:val="22"/>
      <w:szCs w:val="24"/>
    </w:rPr>
  </w:style>
  <w:style w:type="character" w:customStyle="1" w:styleId="CorpsdetexteCar">
    <w:name w:val="Corps de texte Car"/>
    <w:link w:val="Corpsdetexte"/>
    <w:rsid w:val="00110110"/>
    <w:rPr>
      <w:rFonts w:ascii="Arial Narrow" w:hAnsi="Arial Narrow"/>
      <w:sz w:val="22"/>
      <w:szCs w:val="24"/>
      <w:lang w:eastAsia="en-US"/>
    </w:rPr>
  </w:style>
  <w:style w:type="character" w:styleId="lev">
    <w:name w:val="Strong"/>
    <w:qFormat/>
    <w:rsid w:val="003C76FA"/>
    <w:rPr>
      <w:rFonts w:ascii="Times New Roman" w:hAnsi="Times New Roman" w:cs="Times New Roman" w:hint="default"/>
      <w:b/>
      <w:bCs/>
      <w:lang w:val="fr-FR" w:bidi="ar-SA"/>
    </w:rPr>
  </w:style>
  <w:style w:type="paragraph" w:styleId="NormalWeb">
    <w:name w:val="Normal (Web)"/>
    <w:basedOn w:val="Normal"/>
    <w:link w:val="NormalWebCar"/>
    <w:unhideWhenUsed/>
    <w:rsid w:val="003C76FA"/>
    <w:pPr>
      <w:spacing w:before="100" w:beforeAutospacing="1" w:after="100" w:afterAutospacing="1"/>
      <w:jc w:val="both"/>
    </w:pPr>
    <w:rPr>
      <w:szCs w:val="24"/>
    </w:rPr>
  </w:style>
  <w:style w:type="paragraph" w:styleId="Index1">
    <w:name w:val="index 1"/>
    <w:basedOn w:val="Normal"/>
    <w:next w:val="Normal"/>
    <w:autoRedefine/>
    <w:semiHidden/>
    <w:unhideWhenUsed/>
    <w:rsid w:val="003C76FA"/>
    <w:pPr>
      <w:ind w:left="240" w:hanging="240"/>
    </w:pPr>
  </w:style>
  <w:style w:type="paragraph" w:styleId="TM1">
    <w:name w:val="toc 1"/>
    <w:basedOn w:val="Normal"/>
    <w:next w:val="Normal"/>
    <w:autoRedefine/>
    <w:uiPriority w:val="39"/>
    <w:unhideWhenUsed/>
    <w:rsid w:val="00E70532"/>
    <w:pPr>
      <w:tabs>
        <w:tab w:val="right" w:leader="dot" w:pos="9401"/>
      </w:tabs>
    </w:pPr>
    <w:rPr>
      <w:rFonts w:ascii="Arial Narrow" w:hAnsi="Arial Narrow"/>
      <w:b/>
      <w:smallCaps/>
      <w:sz w:val="22"/>
    </w:rPr>
  </w:style>
  <w:style w:type="paragraph" w:styleId="TM2">
    <w:name w:val="toc 2"/>
    <w:basedOn w:val="Normal"/>
    <w:next w:val="Normal"/>
    <w:autoRedefine/>
    <w:uiPriority w:val="39"/>
    <w:unhideWhenUsed/>
    <w:rsid w:val="00E70532"/>
    <w:pPr>
      <w:tabs>
        <w:tab w:val="left" w:pos="720"/>
        <w:tab w:val="right" w:leader="dot" w:pos="9185"/>
        <w:tab w:val="right" w:leader="dot" w:pos="9401"/>
      </w:tabs>
      <w:spacing w:before="0"/>
      <w:ind w:left="720" w:hanging="522"/>
    </w:pPr>
    <w:rPr>
      <w:rFonts w:ascii="Arial Narrow" w:hAnsi="Arial Narrow"/>
      <w:smallCaps/>
      <w:sz w:val="20"/>
    </w:rPr>
  </w:style>
  <w:style w:type="paragraph" w:styleId="TM3">
    <w:name w:val="toc 3"/>
    <w:basedOn w:val="Normal"/>
    <w:next w:val="Normal"/>
    <w:autoRedefine/>
    <w:uiPriority w:val="39"/>
    <w:unhideWhenUsed/>
    <w:rsid w:val="003C76FA"/>
    <w:pPr>
      <w:ind w:left="400"/>
    </w:pPr>
  </w:style>
  <w:style w:type="paragraph" w:styleId="TM4">
    <w:name w:val="toc 4"/>
    <w:basedOn w:val="Normal"/>
    <w:next w:val="Normal"/>
    <w:autoRedefine/>
    <w:semiHidden/>
    <w:unhideWhenUsed/>
    <w:rsid w:val="003C76FA"/>
    <w:pPr>
      <w:ind w:left="600"/>
    </w:pPr>
  </w:style>
  <w:style w:type="paragraph" w:styleId="TM5">
    <w:name w:val="toc 5"/>
    <w:basedOn w:val="Normal"/>
    <w:next w:val="Normal"/>
    <w:autoRedefine/>
    <w:semiHidden/>
    <w:unhideWhenUsed/>
    <w:rsid w:val="003C76FA"/>
    <w:pPr>
      <w:ind w:left="800"/>
    </w:pPr>
  </w:style>
  <w:style w:type="paragraph" w:styleId="TM6">
    <w:name w:val="toc 6"/>
    <w:basedOn w:val="Normal"/>
    <w:next w:val="Normal"/>
    <w:autoRedefine/>
    <w:semiHidden/>
    <w:unhideWhenUsed/>
    <w:rsid w:val="003C76FA"/>
    <w:pPr>
      <w:ind w:left="1000"/>
    </w:pPr>
  </w:style>
  <w:style w:type="paragraph" w:styleId="TM7">
    <w:name w:val="toc 7"/>
    <w:basedOn w:val="Normal"/>
    <w:next w:val="Normal"/>
    <w:autoRedefine/>
    <w:semiHidden/>
    <w:unhideWhenUsed/>
    <w:rsid w:val="003C76FA"/>
    <w:pPr>
      <w:ind w:left="1200"/>
    </w:pPr>
  </w:style>
  <w:style w:type="paragraph" w:styleId="TM8">
    <w:name w:val="toc 8"/>
    <w:basedOn w:val="Normal"/>
    <w:next w:val="Normal"/>
    <w:autoRedefine/>
    <w:semiHidden/>
    <w:unhideWhenUsed/>
    <w:rsid w:val="003C76FA"/>
    <w:pPr>
      <w:ind w:left="1400"/>
    </w:pPr>
  </w:style>
  <w:style w:type="paragraph" w:styleId="TM9">
    <w:name w:val="toc 9"/>
    <w:basedOn w:val="Normal"/>
    <w:next w:val="Normal"/>
    <w:autoRedefine/>
    <w:semiHidden/>
    <w:unhideWhenUsed/>
    <w:rsid w:val="003C76FA"/>
    <w:pPr>
      <w:ind w:left="1600"/>
    </w:pPr>
  </w:style>
  <w:style w:type="paragraph" w:styleId="Notedebasdepage">
    <w:name w:val="footnote text"/>
    <w:basedOn w:val="Normal"/>
    <w:link w:val="NotedebasdepageCar"/>
    <w:unhideWhenUsed/>
    <w:rsid w:val="00953EAA"/>
    <w:pPr>
      <w:spacing w:before="0"/>
      <w:ind w:left="142" w:hanging="142"/>
      <w:jc w:val="both"/>
    </w:pPr>
    <w:rPr>
      <w:rFonts w:ascii="Arial Narrow" w:eastAsia="Calibri" w:hAnsi="Arial Narrow"/>
      <w:sz w:val="18"/>
      <w:szCs w:val="18"/>
    </w:rPr>
  </w:style>
  <w:style w:type="character" w:customStyle="1" w:styleId="NotedebasdepageCar">
    <w:name w:val="Note de bas de page Car"/>
    <w:link w:val="Notedebasdepage"/>
    <w:rsid w:val="00953EAA"/>
    <w:rPr>
      <w:rFonts w:ascii="Arial Narrow" w:hAnsi="Arial Narrow"/>
      <w:sz w:val="18"/>
      <w:szCs w:val="18"/>
    </w:rPr>
  </w:style>
  <w:style w:type="paragraph" w:styleId="Commentaire">
    <w:name w:val="annotation text"/>
    <w:basedOn w:val="Normal"/>
    <w:link w:val="CommentaireCar"/>
    <w:uiPriority w:val="99"/>
    <w:unhideWhenUsed/>
    <w:rsid w:val="00282925"/>
    <w:rPr>
      <w:sz w:val="20"/>
    </w:rPr>
  </w:style>
  <w:style w:type="character" w:customStyle="1" w:styleId="CommentaireCar">
    <w:name w:val="Commentaire Car"/>
    <w:link w:val="Commentaire"/>
    <w:uiPriority w:val="99"/>
    <w:rsid w:val="00282925"/>
    <w:rPr>
      <w:rFonts w:ascii="Times New Roman" w:eastAsia="Times New Roman" w:hAnsi="Times New Roman"/>
    </w:rPr>
  </w:style>
  <w:style w:type="paragraph" w:styleId="En-tte">
    <w:name w:val="header"/>
    <w:basedOn w:val="Normal"/>
    <w:link w:val="En-tteCar"/>
    <w:unhideWhenUsed/>
    <w:rsid w:val="003C76FA"/>
    <w:pPr>
      <w:tabs>
        <w:tab w:val="center" w:pos="4320"/>
        <w:tab w:val="right" w:pos="8640"/>
      </w:tabs>
    </w:pPr>
    <w:rPr>
      <w:sz w:val="20"/>
    </w:rPr>
  </w:style>
  <w:style w:type="character" w:customStyle="1" w:styleId="En-tteCar">
    <w:name w:val="En-tête Car"/>
    <w:link w:val="En-tte"/>
    <w:rsid w:val="003C76FA"/>
    <w:rPr>
      <w:rFonts w:ascii="Times New Roman" w:eastAsia="Times New Roman" w:hAnsi="Times New Roman" w:cs="Times New Roman"/>
      <w:sz w:val="20"/>
      <w:szCs w:val="20"/>
    </w:rPr>
  </w:style>
  <w:style w:type="paragraph" w:styleId="Pieddepage">
    <w:name w:val="footer"/>
    <w:basedOn w:val="Normal"/>
    <w:link w:val="PieddepageCar"/>
    <w:unhideWhenUsed/>
    <w:rsid w:val="00C048E1"/>
    <w:pPr>
      <w:tabs>
        <w:tab w:val="center" w:pos="4536"/>
        <w:tab w:val="right" w:pos="9072"/>
      </w:tabs>
    </w:pPr>
    <w:rPr>
      <w:sz w:val="20"/>
    </w:rPr>
  </w:style>
  <w:style w:type="character" w:customStyle="1" w:styleId="PieddepageCar">
    <w:name w:val="Pied de page Car"/>
    <w:link w:val="Pieddepage"/>
    <w:rsid w:val="00C048E1"/>
    <w:rPr>
      <w:rFonts w:ascii="Times New Roman" w:eastAsia="Times New Roman" w:hAnsi="Times New Roman"/>
    </w:rPr>
  </w:style>
  <w:style w:type="paragraph" w:styleId="Titreindex">
    <w:name w:val="index heading"/>
    <w:basedOn w:val="Normal"/>
    <w:next w:val="Normal"/>
    <w:semiHidden/>
    <w:unhideWhenUsed/>
    <w:rsid w:val="003C76FA"/>
    <w:rPr>
      <w:rFonts w:ascii="Arial" w:hAnsi="Arial" w:cs="Arial"/>
      <w:b/>
      <w:bCs/>
    </w:rPr>
  </w:style>
  <w:style w:type="paragraph" w:styleId="Adressedestinataire">
    <w:name w:val="envelope address"/>
    <w:basedOn w:val="Normal"/>
    <w:semiHidden/>
    <w:unhideWhenUsed/>
    <w:rsid w:val="003C76FA"/>
    <w:pPr>
      <w:framePr w:w="7938" w:h="1985" w:hSpace="141" w:wrap="auto" w:hAnchor="page" w:xAlign="center" w:yAlign="bottom"/>
      <w:widowControl w:val="0"/>
      <w:ind w:left="5097"/>
    </w:pPr>
    <w:rPr>
      <w:rFonts w:ascii="Arial" w:hAnsi="Arial" w:cs="Arial"/>
      <w:szCs w:val="24"/>
    </w:rPr>
  </w:style>
  <w:style w:type="paragraph" w:styleId="Notedefin">
    <w:name w:val="endnote text"/>
    <w:basedOn w:val="Normal"/>
    <w:link w:val="NotedefinCar"/>
    <w:semiHidden/>
    <w:unhideWhenUsed/>
    <w:rsid w:val="003C76FA"/>
    <w:rPr>
      <w:sz w:val="20"/>
    </w:rPr>
  </w:style>
  <w:style w:type="character" w:customStyle="1" w:styleId="NotedefinCar">
    <w:name w:val="Note de fin Car"/>
    <w:link w:val="Notedefin"/>
    <w:semiHidden/>
    <w:rsid w:val="003C76FA"/>
    <w:rPr>
      <w:rFonts w:ascii="Times New Roman" w:eastAsia="Times New Roman" w:hAnsi="Times New Roman" w:cs="Times New Roman"/>
      <w:sz w:val="20"/>
      <w:szCs w:val="20"/>
    </w:rPr>
  </w:style>
  <w:style w:type="paragraph" w:styleId="TitreTR">
    <w:name w:val="toa heading"/>
    <w:basedOn w:val="Normal"/>
    <w:next w:val="Normal"/>
    <w:autoRedefine/>
    <w:semiHidden/>
    <w:unhideWhenUsed/>
    <w:rsid w:val="003C76FA"/>
    <w:pPr>
      <w:spacing w:line="220" w:lineRule="exact"/>
    </w:pPr>
    <w:rPr>
      <w:b/>
      <w:bCs/>
      <w:sz w:val="22"/>
      <w:szCs w:val="24"/>
    </w:rPr>
  </w:style>
  <w:style w:type="paragraph" w:styleId="Liste">
    <w:name w:val="List"/>
    <w:basedOn w:val="Corpsdetexte"/>
    <w:semiHidden/>
    <w:unhideWhenUsed/>
    <w:rsid w:val="003C76FA"/>
  </w:style>
  <w:style w:type="paragraph" w:styleId="Listepuces">
    <w:name w:val="List Bullet"/>
    <w:basedOn w:val="Liste"/>
    <w:unhideWhenUsed/>
    <w:rsid w:val="00E20953"/>
    <w:pPr>
      <w:numPr>
        <w:numId w:val="1"/>
      </w:numPr>
      <w:spacing w:before="240"/>
    </w:pPr>
    <w:rPr>
      <w:szCs w:val="22"/>
    </w:rPr>
  </w:style>
  <w:style w:type="paragraph" w:styleId="Listenumros">
    <w:name w:val="List Number"/>
    <w:basedOn w:val="Liste"/>
    <w:unhideWhenUsed/>
    <w:rsid w:val="003C76FA"/>
  </w:style>
  <w:style w:type="paragraph" w:styleId="Liste2">
    <w:name w:val="List 2"/>
    <w:basedOn w:val="Normal"/>
    <w:semiHidden/>
    <w:unhideWhenUsed/>
    <w:rsid w:val="003C76FA"/>
    <w:pPr>
      <w:ind w:left="566" w:hanging="283"/>
    </w:pPr>
  </w:style>
  <w:style w:type="paragraph" w:styleId="Liste3">
    <w:name w:val="List 3"/>
    <w:basedOn w:val="Normal"/>
    <w:semiHidden/>
    <w:unhideWhenUsed/>
    <w:rsid w:val="003C76FA"/>
    <w:pPr>
      <w:ind w:left="849" w:hanging="283"/>
    </w:pPr>
  </w:style>
  <w:style w:type="paragraph" w:styleId="Liste4">
    <w:name w:val="List 4"/>
    <w:basedOn w:val="Normal"/>
    <w:semiHidden/>
    <w:unhideWhenUsed/>
    <w:rsid w:val="003C76FA"/>
    <w:pPr>
      <w:ind w:left="1132" w:hanging="283"/>
    </w:pPr>
  </w:style>
  <w:style w:type="paragraph" w:styleId="Liste5">
    <w:name w:val="List 5"/>
    <w:basedOn w:val="Normal"/>
    <w:semiHidden/>
    <w:unhideWhenUsed/>
    <w:rsid w:val="003C76FA"/>
    <w:pPr>
      <w:ind w:left="1415" w:hanging="283"/>
    </w:pPr>
  </w:style>
  <w:style w:type="paragraph" w:styleId="Listepuces2">
    <w:name w:val="List Bullet 2"/>
    <w:basedOn w:val="Normal"/>
    <w:autoRedefine/>
    <w:semiHidden/>
    <w:unhideWhenUsed/>
    <w:rsid w:val="003C76FA"/>
    <w:pPr>
      <w:numPr>
        <w:numId w:val="2"/>
      </w:numPr>
    </w:pPr>
  </w:style>
  <w:style w:type="paragraph" w:styleId="Listepuces3">
    <w:name w:val="List Bullet 3"/>
    <w:basedOn w:val="Normal"/>
    <w:autoRedefine/>
    <w:semiHidden/>
    <w:unhideWhenUsed/>
    <w:rsid w:val="003C76FA"/>
    <w:pPr>
      <w:numPr>
        <w:numId w:val="3"/>
      </w:numPr>
    </w:pPr>
  </w:style>
  <w:style w:type="paragraph" w:styleId="Listepuces4">
    <w:name w:val="List Bullet 4"/>
    <w:basedOn w:val="Normal"/>
    <w:autoRedefine/>
    <w:semiHidden/>
    <w:unhideWhenUsed/>
    <w:rsid w:val="003C76FA"/>
    <w:pPr>
      <w:numPr>
        <w:numId w:val="4"/>
      </w:numPr>
    </w:pPr>
  </w:style>
  <w:style w:type="paragraph" w:styleId="Listepuces5">
    <w:name w:val="List Bullet 5"/>
    <w:basedOn w:val="Normal"/>
    <w:autoRedefine/>
    <w:semiHidden/>
    <w:unhideWhenUsed/>
    <w:rsid w:val="003C76FA"/>
    <w:pPr>
      <w:numPr>
        <w:numId w:val="5"/>
      </w:numPr>
    </w:pPr>
  </w:style>
  <w:style w:type="paragraph" w:styleId="Listenumros2">
    <w:name w:val="List Number 2"/>
    <w:basedOn w:val="Normal"/>
    <w:semiHidden/>
    <w:unhideWhenUsed/>
    <w:rsid w:val="003C76FA"/>
    <w:pPr>
      <w:numPr>
        <w:numId w:val="6"/>
      </w:numPr>
    </w:pPr>
  </w:style>
  <w:style w:type="paragraph" w:styleId="Listenumros3">
    <w:name w:val="List Number 3"/>
    <w:basedOn w:val="Normal"/>
    <w:unhideWhenUsed/>
    <w:rsid w:val="003C76FA"/>
  </w:style>
  <w:style w:type="paragraph" w:styleId="Listenumros4">
    <w:name w:val="List Number 4"/>
    <w:basedOn w:val="Normal"/>
    <w:semiHidden/>
    <w:unhideWhenUsed/>
    <w:rsid w:val="003C76FA"/>
    <w:pPr>
      <w:numPr>
        <w:numId w:val="7"/>
      </w:numPr>
    </w:pPr>
  </w:style>
  <w:style w:type="paragraph" w:styleId="Listenumros5">
    <w:name w:val="List Number 5"/>
    <w:basedOn w:val="Normal"/>
    <w:semiHidden/>
    <w:unhideWhenUsed/>
    <w:rsid w:val="003C76FA"/>
    <w:pPr>
      <w:numPr>
        <w:numId w:val="8"/>
      </w:numPr>
    </w:pPr>
  </w:style>
  <w:style w:type="paragraph" w:styleId="Titre">
    <w:name w:val="Title"/>
    <w:basedOn w:val="Normal"/>
    <w:link w:val="TitreCar"/>
    <w:autoRedefine/>
    <w:qFormat/>
    <w:rsid w:val="00B51FA0"/>
    <w:pPr>
      <w:pBdr>
        <w:top w:val="single" w:sz="4" w:space="1" w:color="auto"/>
        <w:left w:val="single" w:sz="4" w:space="4" w:color="auto"/>
        <w:bottom w:val="single" w:sz="4" w:space="1" w:color="auto"/>
        <w:right w:val="single" w:sz="4" w:space="4" w:color="auto"/>
      </w:pBdr>
      <w:spacing w:before="120"/>
      <w:ind w:right="40"/>
      <w:jc w:val="center"/>
      <w:outlineLvl w:val="0"/>
    </w:pPr>
    <w:rPr>
      <w:rFonts w:ascii="Arial Narrow" w:eastAsia="Calibri" w:hAnsi="Arial Narrow"/>
      <w:b/>
      <w:bCs/>
      <w:caps/>
      <w:noProof/>
      <w:kern w:val="28"/>
      <w:sz w:val="28"/>
      <w:szCs w:val="28"/>
    </w:rPr>
  </w:style>
  <w:style w:type="character" w:customStyle="1" w:styleId="TitreCar">
    <w:name w:val="Titre Car"/>
    <w:link w:val="Titre"/>
    <w:rsid w:val="00B51FA0"/>
    <w:rPr>
      <w:rFonts w:ascii="Arial Narrow" w:hAnsi="Arial Narrow"/>
      <w:b/>
      <w:bCs/>
      <w:caps/>
      <w:noProof/>
      <w:kern w:val="28"/>
      <w:sz w:val="28"/>
      <w:szCs w:val="28"/>
    </w:rPr>
  </w:style>
  <w:style w:type="paragraph" w:styleId="Signature">
    <w:name w:val="Signature"/>
    <w:basedOn w:val="Normal"/>
    <w:next w:val="Objet"/>
    <w:link w:val="SignatureCar"/>
    <w:semiHidden/>
    <w:unhideWhenUsed/>
    <w:rsid w:val="003C76FA"/>
    <w:pPr>
      <w:keepNext/>
      <w:spacing w:before="960" w:line="240" w:lineRule="atLeast"/>
      <w:jc w:val="right"/>
    </w:pPr>
    <w:rPr>
      <w:sz w:val="20"/>
    </w:rPr>
  </w:style>
  <w:style w:type="character" w:customStyle="1" w:styleId="SignatureCar">
    <w:name w:val="Signature Car"/>
    <w:link w:val="Signature"/>
    <w:semiHidden/>
    <w:rsid w:val="003C76FA"/>
    <w:rPr>
      <w:rFonts w:ascii="Times New Roman" w:eastAsia="Times New Roman" w:hAnsi="Times New Roman" w:cs="Times New Roman"/>
      <w:sz w:val="20"/>
      <w:szCs w:val="20"/>
    </w:rPr>
  </w:style>
  <w:style w:type="paragraph" w:styleId="Formuledepolitesse">
    <w:name w:val="Closing"/>
    <w:basedOn w:val="Normal"/>
    <w:next w:val="Signature"/>
    <w:link w:val="FormuledepolitesseCar"/>
    <w:semiHidden/>
    <w:unhideWhenUsed/>
    <w:rsid w:val="003C76FA"/>
    <w:pPr>
      <w:keepNext/>
      <w:spacing w:after="120" w:line="240" w:lineRule="atLeast"/>
    </w:pPr>
    <w:rPr>
      <w:sz w:val="20"/>
    </w:rPr>
  </w:style>
  <w:style w:type="character" w:customStyle="1" w:styleId="FormuledepolitesseCar">
    <w:name w:val="Formule de politesse Car"/>
    <w:link w:val="Formuledepolitesse"/>
    <w:semiHidden/>
    <w:rsid w:val="003C76FA"/>
    <w:rPr>
      <w:rFonts w:ascii="Times New Roman" w:eastAsia="Times New Roman" w:hAnsi="Times New Roman" w:cs="Times New Roman"/>
      <w:sz w:val="20"/>
      <w:szCs w:val="20"/>
    </w:rPr>
  </w:style>
  <w:style w:type="paragraph" w:customStyle="1" w:styleId="Objet">
    <w:name w:val="Objet"/>
    <w:basedOn w:val="Normal"/>
    <w:semiHidden/>
    <w:rsid w:val="003C76FA"/>
    <w:pPr>
      <w:tabs>
        <w:tab w:val="left" w:pos="800"/>
      </w:tabs>
    </w:pPr>
  </w:style>
  <w:style w:type="paragraph" w:styleId="Retraitcorpsdetexte">
    <w:name w:val="Body Text Indent"/>
    <w:basedOn w:val="Normal"/>
    <w:link w:val="RetraitcorpsdetexteCar"/>
    <w:unhideWhenUsed/>
    <w:rsid w:val="003C76FA"/>
    <w:pPr>
      <w:spacing w:line="240" w:lineRule="exact"/>
      <w:ind w:left="284"/>
      <w:jc w:val="both"/>
    </w:pPr>
    <w:rPr>
      <w:sz w:val="20"/>
    </w:rPr>
  </w:style>
  <w:style w:type="character" w:customStyle="1" w:styleId="RetraitcorpsdetexteCar">
    <w:name w:val="Retrait corps de texte Car"/>
    <w:link w:val="Retraitcorpsdetexte"/>
    <w:rsid w:val="003C76FA"/>
    <w:rPr>
      <w:rFonts w:ascii="Times New Roman" w:eastAsia="Times New Roman" w:hAnsi="Times New Roman" w:cs="Times New Roman"/>
      <w:sz w:val="20"/>
      <w:szCs w:val="20"/>
    </w:rPr>
  </w:style>
  <w:style w:type="paragraph" w:styleId="Listecontinue">
    <w:name w:val="List Continue"/>
    <w:basedOn w:val="Normal"/>
    <w:semiHidden/>
    <w:unhideWhenUsed/>
    <w:rsid w:val="003C76FA"/>
    <w:pPr>
      <w:spacing w:after="120"/>
      <w:ind w:left="283"/>
    </w:pPr>
  </w:style>
  <w:style w:type="paragraph" w:styleId="Listecontinue2">
    <w:name w:val="List Continue 2"/>
    <w:basedOn w:val="Normal"/>
    <w:semiHidden/>
    <w:unhideWhenUsed/>
    <w:rsid w:val="003C76FA"/>
    <w:pPr>
      <w:spacing w:after="120"/>
      <w:ind w:left="566"/>
    </w:pPr>
  </w:style>
  <w:style w:type="paragraph" w:styleId="Listecontinue3">
    <w:name w:val="List Continue 3"/>
    <w:basedOn w:val="Normal"/>
    <w:semiHidden/>
    <w:unhideWhenUsed/>
    <w:rsid w:val="003C76FA"/>
    <w:pPr>
      <w:spacing w:after="120"/>
      <w:ind w:left="849"/>
    </w:pPr>
  </w:style>
  <w:style w:type="paragraph" w:styleId="Listecontinue4">
    <w:name w:val="List Continue 4"/>
    <w:basedOn w:val="Normal"/>
    <w:semiHidden/>
    <w:unhideWhenUsed/>
    <w:rsid w:val="003C76FA"/>
    <w:pPr>
      <w:spacing w:after="120"/>
      <w:ind w:left="1132"/>
    </w:pPr>
  </w:style>
  <w:style w:type="paragraph" w:styleId="Listecontinue5">
    <w:name w:val="List Continue 5"/>
    <w:basedOn w:val="Normal"/>
    <w:semiHidden/>
    <w:unhideWhenUsed/>
    <w:rsid w:val="003C76FA"/>
    <w:pPr>
      <w:spacing w:after="120"/>
      <w:ind w:left="1415"/>
    </w:pPr>
  </w:style>
  <w:style w:type="paragraph" w:styleId="Sous-titre">
    <w:name w:val="Subtitle"/>
    <w:basedOn w:val="Normal"/>
    <w:link w:val="Sous-titreCar"/>
    <w:qFormat/>
    <w:rsid w:val="003C76FA"/>
    <w:pPr>
      <w:spacing w:after="60"/>
      <w:jc w:val="center"/>
      <w:outlineLvl w:val="1"/>
    </w:pPr>
    <w:rPr>
      <w:rFonts w:ascii="Arial" w:hAnsi="Arial"/>
      <w:szCs w:val="24"/>
    </w:rPr>
  </w:style>
  <w:style w:type="character" w:customStyle="1" w:styleId="Sous-titreCar">
    <w:name w:val="Sous-titre Car"/>
    <w:link w:val="Sous-titre"/>
    <w:rsid w:val="003C76FA"/>
    <w:rPr>
      <w:rFonts w:ascii="Arial" w:eastAsia="Times New Roman" w:hAnsi="Arial" w:cs="Times New Roman"/>
      <w:sz w:val="24"/>
      <w:szCs w:val="24"/>
    </w:rPr>
  </w:style>
  <w:style w:type="paragraph" w:styleId="Date">
    <w:name w:val="Date"/>
    <w:basedOn w:val="Normal"/>
    <w:next w:val="Normal"/>
    <w:link w:val="DateCar"/>
    <w:semiHidden/>
    <w:unhideWhenUsed/>
    <w:rsid w:val="003C76FA"/>
    <w:pPr>
      <w:spacing w:after="220"/>
      <w:jc w:val="right"/>
    </w:pPr>
    <w:rPr>
      <w:sz w:val="20"/>
    </w:rPr>
  </w:style>
  <w:style w:type="character" w:customStyle="1" w:styleId="DateCar">
    <w:name w:val="Date Car"/>
    <w:link w:val="Date"/>
    <w:semiHidden/>
    <w:rsid w:val="003C76FA"/>
    <w:rPr>
      <w:rFonts w:ascii="Times New Roman" w:eastAsia="Times New Roman" w:hAnsi="Times New Roman" w:cs="Times New Roman"/>
      <w:sz w:val="20"/>
      <w:szCs w:val="20"/>
    </w:rPr>
  </w:style>
  <w:style w:type="paragraph" w:styleId="Retraitcorpset1relig">
    <w:name w:val="Body Text First Indent 2"/>
    <w:basedOn w:val="Retraitcorpsdetexte"/>
    <w:link w:val="Retraitcorpset1religCar"/>
    <w:semiHidden/>
    <w:unhideWhenUsed/>
    <w:rsid w:val="003C76FA"/>
    <w:pPr>
      <w:ind w:firstLine="210"/>
    </w:pPr>
  </w:style>
  <w:style w:type="character" w:customStyle="1" w:styleId="Retraitcorpset1religCar">
    <w:name w:val="Retrait corps et 1re lig. Car"/>
    <w:basedOn w:val="RetraitcorpsdetexteCar"/>
    <w:link w:val="Retraitcorpset1relig"/>
    <w:semiHidden/>
    <w:rsid w:val="003C76FA"/>
    <w:rPr>
      <w:rFonts w:ascii="Times New Roman" w:eastAsia="Times New Roman" w:hAnsi="Times New Roman" w:cs="Times New Roman"/>
      <w:sz w:val="20"/>
      <w:szCs w:val="20"/>
    </w:rPr>
  </w:style>
  <w:style w:type="paragraph" w:styleId="Corpsdetexte2">
    <w:name w:val="Body Text 2"/>
    <w:basedOn w:val="Normal"/>
    <w:link w:val="Corpsdetexte2Car"/>
    <w:unhideWhenUsed/>
    <w:rsid w:val="00D45C44"/>
    <w:pPr>
      <w:spacing w:before="120"/>
      <w:jc w:val="both"/>
    </w:pPr>
    <w:rPr>
      <w:rFonts w:eastAsia="Calibri"/>
      <w:szCs w:val="24"/>
    </w:rPr>
  </w:style>
  <w:style w:type="character" w:customStyle="1" w:styleId="Corpsdetexte2Car">
    <w:name w:val="Corps de texte 2 Car"/>
    <w:link w:val="Corpsdetexte2"/>
    <w:rsid w:val="00D45C44"/>
    <w:rPr>
      <w:rFonts w:ascii="Times New Roman" w:hAnsi="Times New Roman"/>
      <w:sz w:val="24"/>
      <w:szCs w:val="24"/>
    </w:rPr>
  </w:style>
  <w:style w:type="paragraph" w:styleId="Corpsdetexte3">
    <w:name w:val="Body Text 3"/>
    <w:basedOn w:val="Normal"/>
    <w:link w:val="Corpsdetexte3Car"/>
    <w:semiHidden/>
    <w:unhideWhenUsed/>
    <w:rsid w:val="003C76FA"/>
    <w:pPr>
      <w:spacing w:after="120"/>
    </w:pPr>
    <w:rPr>
      <w:sz w:val="16"/>
      <w:szCs w:val="16"/>
    </w:rPr>
  </w:style>
  <w:style w:type="character" w:customStyle="1" w:styleId="Corpsdetexte3Car">
    <w:name w:val="Corps de texte 3 Car"/>
    <w:link w:val="Corpsdetexte3"/>
    <w:semiHidden/>
    <w:rsid w:val="003C76FA"/>
    <w:rPr>
      <w:rFonts w:ascii="Times New Roman" w:eastAsia="Times New Roman" w:hAnsi="Times New Roman" w:cs="Times New Roman"/>
      <w:sz w:val="16"/>
      <w:szCs w:val="16"/>
    </w:rPr>
  </w:style>
  <w:style w:type="paragraph" w:styleId="Retraitcorpsdetexte2">
    <w:name w:val="Body Text Indent 2"/>
    <w:basedOn w:val="Normal"/>
    <w:link w:val="Retraitcorpsdetexte2Car"/>
    <w:semiHidden/>
    <w:unhideWhenUsed/>
    <w:rsid w:val="003C76FA"/>
    <w:pPr>
      <w:spacing w:line="240" w:lineRule="exact"/>
      <w:ind w:left="1701"/>
    </w:pPr>
    <w:rPr>
      <w:sz w:val="20"/>
    </w:rPr>
  </w:style>
  <w:style w:type="character" w:customStyle="1" w:styleId="Retraitcorpsdetexte2Car">
    <w:name w:val="Retrait corps de texte 2 Car"/>
    <w:link w:val="Retraitcorpsdetexte2"/>
    <w:semiHidden/>
    <w:rsid w:val="003C76FA"/>
    <w:rPr>
      <w:rFonts w:ascii="Times New Roman" w:eastAsia="Times New Roman" w:hAnsi="Times New Roman" w:cs="Times New Roman"/>
      <w:sz w:val="20"/>
      <w:szCs w:val="20"/>
    </w:rPr>
  </w:style>
  <w:style w:type="paragraph" w:styleId="Retraitcorpsdetexte3">
    <w:name w:val="Body Text Indent 3"/>
    <w:basedOn w:val="Normal"/>
    <w:link w:val="Retraitcorpsdetexte3Car"/>
    <w:semiHidden/>
    <w:unhideWhenUsed/>
    <w:rsid w:val="003C76FA"/>
    <w:pPr>
      <w:spacing w:after="120"/>
      <w:ind w:left="283"/>
    </w:pPr>
    <w:rPr>
      <w:sz w:val="16"/>
      <w:szCs w:val="16"/>
    </w:rPr>
  </w:style>
  <w:style w:type="character" w:customStyle="1" w:styleId="Retraitcorpsdetexte3Car">
    <w:name w:val="Retrait corps de texte 3 Car"/>
    <w:link w:val="Retraitcorpsdetexte3"/>
    <w:semiHidden/>
    <w:rsid w:val="003C76FA"/>
    <w:rPr>
      <w:rFonts w:ascii="Times New Roman" w:eastAsia="Times New Roman" w:hAnsi="Times New Roman" w:cs="Times New Roman"/>
      <w:sz w:val="16"/>
      <w:szCs w:val="16"/>
    </w:rPr>
  </w:style>
  <w:style w:type="paragraph" w:styleId="Explorateurdedocuments">
    <w:name w:val="Document Map"/>
    <w:basedOn w:val="Normal"/>
    <w:link w:val="ExplorateurdedocumentsCar"/>
    <w:semiHidden/>
    <w:unhideWhenUsed/>
    <w:rsid w:val="003C76FA"/>
    <w:pPr>
      <w:shd w:val="clear" w:color="auto" w:fill="000080"/>
    </w:pPr>
    <w:rPr>
      <w:rFonts w:ascii="Tahoma" w:hAnsi="Tahoma"/>
      <w:sz w:val="20"/>
    </w:rPr>
  </w:style>
  <w:style w:type="character" w:customStyle="1" w:styleId="ExplorateurdedocumentsCar">
    <w:name w:val="Explorateur de documents Car"/>
    <w:link w:val="Explorateurdedocuments"/>
    <w:semiHidden/>
    <w:rsid w:val="003C76FA"/>
    <w:rPr>
      <w:rFonts w:ascii="Tahoma" w:eastAsia="Times New Roman" w:hAnsi="Tahoma" w:cs="Times New Roman"/>
      <w:sz w:val="20"/>
      <w:szCs w:val="20"/>
      <w:shd w:val="clear" w:color="auto" w:fill="000080"/>
    </w:rPr>
  </w:style>
  <w:style w:type="paragraph" w:styleId="Objetducommentaire">
    <w:name w:val="annotation subject"/>
    <w:basedOn w:val="Commentaire"/>
    <w:next w:val="Commentaire"/>
    <w:link w:val="ObjetducommentaireCar"/>
    <w:semiHidden/>
    <w:unhideWhenUsed/>
    <w:rsid w:val="003C76FA"/>
    <w:rPr>
      <w:b/>
      <w:bCs/>
    </w:rPr>
  </w:style>
  <w:style w:type="character" w:customStyle="1" w:styleId="ObjetducommentaireCar">
    <w:name w:val="Objet du commentaire Car"/>
    <w:link w:val="Objetducommentaire"/>
    <w:semiHidden/>
    <w:rsid w:val="003C76FA"/>
    <w:rPr>
      <w:rFonts w:ascii="Times New Roman" w:eastAsia="Times New Roman" w:hAnsi="Times New Roman" w:cs="Times New Roman"/>
      <w:b/>
      <w:bCs/>
      <w:sz w:val="20"/>
      <w:szCs w:val="20"/>
    </w:rPr>
  </w:style>
  <w:style w:type="paragraph" w:styleId="Textedebulles">
    <w:name w:val="Balloon Text"/>
    <w:basedOn w:val="Normal"/>
    <w:link w:val="TextedebullesCar"/>
    <w:semiHidden/>
    <w:unhideWhenUsed/>
    <w:rsid w:val="003C76FA"/>
    <w:rPr>
      <w:rFonts w:ascii="Tahoma" w:hAnsi="Tahoma"/>
      <w:sz w:val="16"/>
      <w:szCs w:val="16"/>
    </w:rPr>
  </w:style>
  <w:style w:type="character" w:customStyle="1" w:styleId="TextedebullesCar">
    <w:name w:val="Texte de bulles Car"/>
    <w:link w:val="Textedebulles"/>
    <w:semiHidden/>
    <w:rsid w:val="003C76FA"/>
    <w:rPr>
      <w:rFonts w:ascii="Tahoma" w:eastAsia="Times New Roman" w:hAnsi="Tahoma" w:cs="Times New Roman"/>
      <w:sz w:val="16"/>
      <w:szCs w:val="16"/>
    </w:rPr>
  </w:style>
  <w:style w:type="paragraph" w:styleId="Sansinterligne">
    <w:name w:val="No Spacing"/>
    <w:qFormat/>
    <w:rsid w:val="00C63DA1"/>
    <w:pPr>
      <w:suppressAutoHyphens/>
      <w:autoSpaceDN w:val="0"/>
      <w:ind w:left="284"/>
      <w:jc w:val="both"/>
    </w:pPr>
    <w:rPr>
      <w:rFonts w:ascii="Arial Narrow" w:eastAsia="Times New Roman" w:hAnsi="Arial Narrow" w:cs="Calibri"/>
      <w:i/>
      <w:kern w:val="3"/>
    </w:rPr>
  </w:style>
  <w:style w:type="paragraph" w:styleId="En-ttedetabledesmatires">
    <w:name w:val="TOC Heading"/>
    <w:basedOn w:val="Titre1"/>
    <w:next w:val="Normal"/>
    <w:uiPriority w:val="39"/>
    <w:qFormat/>
    <w:rsid w:val="003C76FA"/>
    <w:pPr>
      <w:keepLines/>
      <w:numPr>
        <w:numId w:val="0"/>
      </w:numPr>
      <w:spacing w:line="276" w:lineRule="auto"/>
      <w:outlineLvl w:val="9"/>
    </w:pPr>
    <w:rPr>
      <w:rFonts w:ascii="Cambria" w:eastAsia="Times New Roman" w:hAnsi="Cambria"/>
      <w:bCs/>
      <w:color w:val="365F91"/>
      <w:szCs w:val="28"/>
      <w:lang w:eastAsia="en-US"/>
    </w:rPr>
  </w:style>
  <w:style w:type="paragraph" w:customStyle="1" w:styleId="Sansinterligne1">
    <w:name w:val="Sans interligne1"/>
    <w:semiHidden/>
    <w:rsid w:val="003C76FA"/>
    <w:rPr>
      <w:rFonts w:ascii="Times New Roman" w:eastAsia="Times New Roman" w:hAnsi="Times New Roman"/>
      <w:sz w:val="24"/>
      <w:lang w:eastAsia="en-US"/>
    </w:rPr>
  </w:style>
  <w:style w:type="paragraph" w:customStyle="1" w:styleId="Sansinterligne11">
    <w:name w:val="Sans interligne11"/>
    <w:semiHidden/>
    <w:rsid w:val="003C76FA"/>
    <w:rPr>
      <w:sz w:val="22"/>
      <w:szCs w:val="22"/>
      <w:lang w:eastAsia="en-US"/>
    </w:rPr>
  </w:style>
  <w:style w:type="paragraph" w:customStyle="1" w:styleId="Rvision1">
    <w:name w:val="Révision1"/>
    <w:semiHidden/>
    <w:rsid w:val="003C76FA"/>
    <w:rPr>
      <w:rFonts w:ascii="Times New Roman" w:eastAsia="Times New Roman" w:hAnsi="Times New Roman"/>
      <w:sz w:val="24"/>
      <w:szCs w:val="24"/>
    </w:rPr>
  </w:style>
  <w:style w:type="paragraph" w:customStyle="1" w:styleId="Paragraphedeliste1">
    <w:name w:val="Paragraphe de liste1"/>
    <w:basedOn w:val="Normal"/>
    <w:semiHidden/>
    <w:rsid w:val="003C76FA"/>
    <w:pPr>
      <w:ind w:left="708"/>
    </w:pPr>
  </w:style>
  <w:style w:type="paragraph" w:customStyle="1" w:styleId="Titrebase">
    <w:name w:val="Titre (base)"/>
    <w:basedOn w:val="Corpsdetexte"/>
    <w:next w:val="Corpsdetexte"/>
    <w:semiHidden/>
    <w:rsid w:val="003C76FA"/>
    <w:pPr>
      <w:keepNext/>
      <w:keepLines/>
      <w:overflowPunct w:val="0"/>
      <w:autoSpaceDE w:val="0"/>
      <w:autoSpaceDN w:val="0"/>
      <w:adjustRightInd w:val="0"/>
      <w:spacing w:before="240" w:after="360" w:line="220" w:lineRule="atLeast"/>
      <w:jc w:val="center"/>
    </w:pPr>
    <w:rPr>
      <w:b/>
      <w:sz w:val="40"/>
      <w:lang w:eastAsia="fr-FR"/>
    </w:rPr>
  </w:style>
  <w:style w:type="paragraph" w:customStyle="1" w:styleId="TitreBase0">
    <w:name w:val="Titre Base"/>
    <w:basedOn w:val="Corpsdetexte"/>
    <w:next w:val="Corpsdetexte"/>
    <w:semiHidden/>
    <w:rsid w:val="003C76FA"/>
    <w:pPr>
      <w:keepNext/>
      <w:keepLines/>
    </w:pPr>
    <w:rPr>
      <w:kern w:val="20"/>
    </w:rPr>
  </w:style>
  <w:style w:type="paragraph" w:customStyle="1" w:styleId="listapus1">
    <w:name w:val="listapus 1"/>
    <w:basedOn w:val="Normal"/>
    <w:semiHidden/>
    <w:rsid w:val="003C76FA"/>
    <w:pPr>
      <w:numPr>
        <w:ilvl w:val="1"/>
        <w:numId w:val="9"/>
      </w:numPr>
      <w:spacing w:line="240" w:lineRule="exact"/>
      <w:ind w:left="300" w:hanging="198"/>
    </w:pPr>
    <w:rPr>
      <w:szCs w:val="24"/>
      <w:lang w:eastAsia="fr-FR"/>
    </w:rPr>
  </w:style>
  <w:style w:type="paragraph" w:customStyle="1" w:styleId="Picejointe">
    <w:name w:val="Pièce jointe"/>
    <w:basedOn w:val="Normal"/>
    <w:next w:val="Normal"/>
    <w:semiHidden/>
    <w:rsid w:val="003C76FA"/>
    <w:pPr>
      <w:keepNext/>
      <w:keepLines/>
      <w:spacing w:before="120" w:after="120" w:line="240" w:lineRule="atLeast"/>
    </w:pPr>
  </w:style>
  <w:style w:type="paragraph" w:customStyle="1" w:styleId="Adressedest">
    <w:name w:val="Adresse dest."/>
    <w:basedOn w:val="Normal"/>
    <w:semiHidden/>
    <w:rsid w:val="003C76FA"/>
    <w:pPr>
      <w:spacing w:line="240" w:lineRule="atLeast"/>
    </w:pPr>
  </w:style>
  <w:style w:type="paragraph" w:customStyle="1" w:styleId="puce1">
    <w:name w:val="puce1"/>
    <w:basedOn w:val="Normal"/>
    <w:semiHidden/>
    <w:rsid w:val="003C76FA"/>
    <w:pPr>
      <w:numPr>
        <w:numId w:val="10"/>
      </w:numPr>
    </w:pPr>
  </w:style>
  <w:style w:type="paragraph" w:customStyle="1" w:styleId="Listenumros0">
    <w:name w:val="Liste à numéros °)"/>
    <w:basedOn w:val="Normal"/>
    <w:semiHidden/>
    <w:rsid w:val="003C76FA"/>
    <w:pPr>
      <w:spacing w:line="240" w:lineRule="exact"/>
      <w:jc w:val="both"/>
    </w:pPr>
  </w:style>
  <w:style w:type="paragraph" w:customStyle="1" w:styleId="WW-Corpsdetexte2">
    <w:name w:val="WW-Corps de texte 2"/>
    <w:basedOn w:val="Normal"/>
    <w:semiHidden/>
    <w:rsid w:val="003C76FA"/>
    <w:pPr>
      <w:suppressAutoHyphens/>
    </w:pPr>
    <w:rPr>
      <w:color w:val="003366"/>
      <w:szCs w:val="24"/>
      <w:lang w:eastAsia="ar-SA"/>
    </w:rPr>
  </w:style>
  <w:style w:type="paragraph" w:customStyle="1" w:styleId="Style1">
    <w:name w:val="Style1"/>
    <w:basedOn w:val="Titre4"/>
    <w:next w:val="Titre5"/>
    <w:semiHidden/>
    <w:rsid w:val="003C76FA"/>
    <w:pPr>
      <w:keepLines w:val="0"/>
      <w:tabs>
        <w:tab w:val="left" w:pos="851"/>
      </w:tabs>
      <w:spacing w:after="60"/>
      <w:ind w:left="864" w:hanging="864"/>
      <w:jc w:val="both"/>
    </w:pPr>
    <w:rPr>
      <w:rFonts w:eastAsia="Times New Roman"/>
      <w:b w:val="0"/>
      <w:i/>
      <w:iCs w:val="0"/>
      <w:sz w:val="28"/>
      <w:szCs w:val="28"/>
      <w:lang w:eastAsia="fr-FR"/>
    </w:rPr>
  </w:style>
  <w:style w:type="paragraph" w:customStyle="1" w:styleId="Default">
    <w:name w:val="Default"/>
    <w:rsid w:val="003C76FA"/>
    <w:pPr>
      <w:autoSpaceDE w:val="0"/>
      <w:autoSpaceDN w:val="0"/>
      <w:adjustRightInd w:val="0"/>
    </w:pPr>
    <w:rPr>
      <w:rFonts w:ascii="Times New Roman" w:eastAsia="Times New Roman" w:hAnsi="Times New Roman"/>
      <w:color w:val="000000"/>
      <w:sz w:val="24"/>
      <w:szCs w:val="24"/>
    </w:rPr>
  </w:style>
  <w:style w:type="paragraph" w:customStyle="1" w:styleId="Style">
    <w:name w:val="Style"/>
    <w:rsid w:val="003C76FA"/>
    <w:pPr>
      <w:widowControl w:val="0"/>
      <w:autoSpaceDE w:val="0"/>
      <w:autoSpaceDN w:val="0"/>
      <w:adjustRightInd w:val="0"/>
    </w:pPr>
    <w:rPr>
      <w:rFonts w:ascii="Times New Roman" w:hAnsi="Times New Roman"/>
      <w:sz w:val="24"/>
      <w:szCs w:val="24"/>
    </w:rPr>
  </w:style>
  <w:style w:type="paragraph" w:customStyle="1" w:styleId="Rvision2">
    <w:name w:val="Révision2"/>
    <w:semiHidden/>
    <w:rsid w:val="003C76FA"/>
    <w:rPr>
      <w:rFonts w:ascii="Times New Roman" w:eastAsia="Times New Roman" w:hAnsi="Times New Roman"/>
      <w:sz w:val="24"/>
      <w:lang w:eastAsia="en-US"/>
    </w:rPr>
  </w:style>
  <w:style w:type="paragraph" w:customStyle="1" w:styleId="Standard">
    <w:name w:val="Standard"/>
    <w:rsid w:val="003C76FA"/>
    <w:pPr>
      <w:widowControl w:val="0"/>
      <w:suppressAutoHyphens/>
      <w:autoSpaceDN w:val="0"/>
    </w:pPr>
    <w:rPr>
      <w:rFonts w:ascii="Times New Roman" w:eastAsia="Lucida Sans Unicode" w:hAnsi="Times New Roman" w:cs="Tahoma"/>
      <w:kern w:val="3"/>
      <w:sz w:val="24"/>
      <w:szCs w:val="24"/>
    </w:rPr>
  </w:style>
  <w:style w:type="paragraph" w:customStyle="1" w:styleId="Textbody">
    <w:name w:val="Text body"/>
    <w:basedOn w:val="Standard"/>
    <w:rsid w:val="003C76FA"/>
    <w:pPr>
      <w:spacing w:after="120"/>
    </w:pPr>
  </w:style>
  <w:style w:type="paragraph" w:customStyle="1" w:styleId="Textbodyindent">
    <w:name w:val="Text body indent"/>
    <w:basedOn w:val="Standard"/>
    <w:semiHidden/>
    <w:rsid w:val="003C76FA"/>
    <w:pPr>
      <w:spacing w:line="240" w:lineRule="exact"/>
      <w:ind w:left="284"/>
      <w:jc w:val="both"/>
    </w:pPr>
    <w:rPr>
      <w:sz w:val="20"/>
    </w:rPr>
  </w:style>
  <w:style w:type="paragraph" w:customStyle="1" w:styleId="Contents1">
    <w:name w:val="Contents 1"/>
    <w:basedOn w:val="Standard"/>
    <w:next w:val="Standard"/>
    <w:semiHidden/>
    <w:rsid w:val="003C76FA"/>
  </w:style>
  <w:style w:type="paragraph" w:customStyle="1" w:styleId="Contents2">
    <w:name w:val="Contents 2"/>
    <w:basedOn w:val="Standard"/>
    <w:next w:val="Standard"/>
    <w:semiHidden/>
    <w:rsid w:val="003C76FA"/>
    <w:pPr>
      <w:ind w:left="200"/>
    </w:pPr>
  </w:style>
  <w:style w:type="paragraph" w:customStyle="1" w:styleId="Contents3">
    <w:name w:val="Contents 3"/>
    <w:basedOn w:val="Standard"/>
    <w:next w:val="Standard"/>
    <w:semiHidden/>
    <w:rsid w:val="003C76FA"/>
    <w:pPr>
      <w:ind w:left="400"/>
    </w:pPr>
  </w:style>
  <w:style w:type="paragraph" w:customStyle="1" w:styleId="Corpsdetexte21">
    <w:name w:val="Corps de texte 21"/>
    <w:basedOn w:val="Standard"/>
    <w:semiHidden/>
    <w:rsid w:val="003C76FA"/>
    <w:pPr>
      <w:spacing w:before="120" w:line="240" w:lineRule="exact"/>
      <w:jc w:val="both"/>
    </w:pPr>
    <w:rPr>
      <w:rFonts w:ascii="Calibri" w:eastAsia="Calibri" w:hAnsi="Calibri"/>
    </w:rPr>
  </w:style>
  <w:style w:type="paragraph" w:customStyle="1" w:styleId="Textbodyuser">
    <w:name w:val="Text body (user)"/>
    <w:basedOn w:val="Normal"/>
    <w:semiHidden/>
    <w:rsid w:val="003C76FA"/>
    <w:pPr>
      <w:widowControl w:val="0"/>
      <w:suppressAutoHyphens/>
      <w:autoSpaceDN w:val="0"/>
      <w:spacing w:after="120"/>
    </w:pPr>
    <w:rPr>
      <w:rFonts w:eastAsia="Lucida Sans Unicode"/>
      <w:kern w:val="3"/>
      <w:szCs w:val="24"/>
      <w:lang w:eastAsia="fr-FR"/>
    </w:rPr>
  </w:style>
  <w:style w:type="paragraph" w:customStyle="1" w:styleId="Titre31">
    <w:name w:val="Titre 31"/>
    <w:basedOn w:val="Titrebase"/>
    <w:next w:val="Textbody"/>
    <w:semiHidden/>
    <w:rsid w:val="003C76FA"/>
    <w:pPr>
      <w:widowControl w:val="0"/>
      <w:numPr>
        <w:numId w:val="11"/>
      </w:numPr>
      <w:tabs>
        <w:tab w:val="left" w:pos="720"/>
      </w:tabs>
      <w:suppressAutoHyphens/>
      <w:adjustRightInd/>
      <w:spacing w:before="120"/>
      <w:ind w:left="-626"/>
      <w:outlineLvl w:val="2"/>
    </w:pPr>
    <w:rPr>
      <w:rFonts w:eastAsia="Lucida Sans Unicode" w:cs="Tahoma"/>
      <w:kern w:val="3"/>
      <w:sz w:val="24"/>
    </w:rPr>
  </w:style>
  <w:style w:type="paragraph" w:customStyle="1" w:styleId="Titre21">
    <w:name w:val="Titre 21"/>
    <w:basedOn w:val="Normal"/>
    <w:next w:val="Textbody"/>
    <w:semiHidden/>
    <w:rsid w:val="003C76FA"/>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character" w:styleId="Appelnotedebasdep">
    <w:name w:val="footnote reference"/>
    <w:unhideWhenUsed/>
    <w:rsid w:val="00191307"/>
    <w:rPr>
      <w:vertAlign w:val="superscript"/>
    </w:rPr>
  </w:style>
  <w:style w:type="character" w:styleId="Marquedecommentaire">
    <w:name w:val="annotation reference"/>
    <w:uiPriority w:val="99"/>
    <w:semiHidden/>
    <w:unhideWhenUsed/>
    <w:rsid w:val="003C76FA"/>
    <w:rPr>
      <w:rFonts w:ascii="Times New Roman" w:hAnsi="Times New Roman" w:cs="Times New Roman" w:hint="default"/>
      <w:sz w:val="16"/>
      <w:szCs w:val="16"/>
      <w:lang w:val="fr-FR" w:bidi="ar-SA"/>
    </w:rPr>
  </w:style>
  <w:style w:type="character" w:styleId="Numrodepage">
    <w:name w:val="page number"/>
    <w:unhideWhenUsed/>
    <w:rsid w:val="003C76FA"/>
    <w:rPr>
      <w:rFonts w:ascii="Times New Roman" w:hAnsi="Times New Roman" w:cs="Times New Roman" w:hint="default"/>
      <w:lang w:val="fr-FR" w:bidi="ar-SA"/>
    </w:rPr>
  </w:style>
  <w:style w:type="character" w:styleId="Appeldenotedefin">
    <w:name w:val="endnote reference"/>
    <w:semiHidden/>
    <w:unhideWhenUsed/>
    <w:rsid w:val="003C76FA"/>
    <w:rPr>
      <w:rFonts w:ascii="Times New Roman" w:hAnsi="Times New Roman" w:cs="Times New Roman" w:hint="default"/>
      <w:vertAlign w:val="superscript"/>
      <w:lang w:val="fr-FR" w:bidi="ar-SA"/>
    </w:rPr>
  </w:style>
  <w:style w:type="character" w:customStyle="1" w:styleId="CarCar6">
    <w:name w:val="Car Car6"/>
    <w:semiHidden/>
    <w:rsid w:val="003C76FA"/>
    <w:rPr>
      <w:rFonts w:ascii="Calibri" w:hAnsi="Calibri" w:cs="Times New Roman" w:hint="default"/>
      <w:b/>
      <w:bCs/>
      <w:sz w:val="22"/>
      <w:szCs w:val="22"/>
      <w:lang w:val="fr-FR" w:bidi="ar-SA"/>
    </w:rPr>
  </w:style>
  <w:style w:type="character" w:customStyle="1" w:styleId="Caractresdenotedebasdepage">
    <w:name w:val="Caractères de note de bas de page"/>
    <w:rsid w:val="003C76FA"/>
    <w:rPr>
      <w:vertAlign w:val="superscript"/>
    </w:rPr>
  </w:style>
  <w:style w:type="character" w:customStyle="1" w:styleId="Appelnotedebasdep1">
    <w:name w:val="Appel note de bas de p.1"/>
    <w:rsid w:val="003C76FA"/>
    <w:rPr>
      <w:vertAlign w:val="superscript"/>
    </w:rPr>
  </w:style>
  <w:style w:type="character" w:customStyle="1" w:styleId="apple-converted-space">
    <w:name w:val="apple-converted-space"/>
    <w:rsid w:val="003C76FA"/>
    <w:rPr>
      <w:rFonts w:ascii="Times New Roman" w:hAnsi="Times New Roman" w:cs="Times New Roman" w:hint="default"/>
      <w:lang w:val="fr-FR" w:bidi="ar-SA"/>
    </w:rPr>
  </w:style>
  <w:style w:type="character" w:customStyle="1" w:styleId="apple-style-span">
    <w:name w:val="apple-style-span"/>
    <w:semiHidden/>
    <w:rsid w:val="003C76FA"/>
    <w:rPr>
      <w:rFonts w:ascii="Times New Roman" w:hAnsi="Times New Roman" w:cs="Times New Roman" w:hint="default"/>
      <w:lang w:val="fr-FR" w:bidi="ar-SA"/>
    </w:rPr>
  </w:style>
  <w:style w:type="character" w:customStyle="1" w:styleId="Internetlink">
    <w:name w:val="Internet link"/>
    <w:rsid w:val="003C76FA"/>
    <w:rPr>
      <w:rFonts w:ascii="Times New Roman" w:hAnsi="Times New Roman" w:cs="Times New Roman" w:hint="default"/>
      <w:color w:val="0000FF"/>
      <w:u w:val="single" w:color="000000"/>
      <w:lang w:val="fr-FR" w:bidi="ar-SA"/>
    </w:rPr>
  </w:style>
  <w:style w:type="character" w:customStyle="1" w:styleId="StrongEmphasis">
    <w:name w:val="Strong Emphasis"/>
    <w:rsid w:val="003C76FA"/>
    <w:rPr>
      <w:rFonts w:ascii="Times New Roman" w:hAnsi="Times New Roman" w:cs="Times New Roman" w:hint="default"/>
      <w:b/>
      <w:bCs/>
      <w:lang w:val="fr-FR" w:bidi="ar-SA"/>
    </w:rPr>
  </w:style>
  <w:style w:type="table" w:styleId="Grilledutableau">
    <w:name w:val="Table Grid"/>
    <w:basedOn w:val="TableauNormal"/>
    <w:uiPriority w:val="59"/>
    <w:rsid w:val="003C76F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Outline">
    <w:name w:val="Outline"/>
    <w:rsid w:val="003C76FA"/>
    <w:pPr>
      <w:numPr>
        <w:numId w:val="11"/>
      </w:numPr>
    </w:pPr>
  </w:style>
  <w:style w:type="numbering" w:customStyle="1" w:styleId="WW8Num6">
    <w:name w:val="WW8Num6"/>
    <w:rsid w:val="003C76FA"/>
    <w:pPr>
      <w:numPr>
        <w:numId w:val="12"/>
      </w:numPr>
    </w:pPr>
  </w:style>
  <w:style w:type="numbering" w:customStyle="1" w:styleId="WW8Num4">
    <w:name w:val="WW8Num4"/>
    <w:rsid w:val="003C76FA"/>
    <w:pPr>
      <w:numPr>
        <w:numId w:val="13"/>
      </w:numPr>
    </w:pPr>
  </w:style>
  <w:style w:type="numbering" w:customStyle="1" w:styleId="Listeencours1">
    <w:name w:val="Liste en cours1"/>
    <w:rsid w:val="003C76FA"/>
    <w:pPr>
      <w:numPr>
        <w:numId w:val="14"/>
      </w:numPr>
    </w:pPr>
  </w:style>
  <w:style w:type="paragraph" w:styleId="Rvision">
    <w:name w:val="Revision"/>
    <w:hidden/>
    <w:uiPriority w:val="99"/>
    <w:semiHidden/>
    <w:rsid w:val="009F2ECF"/>
    <w:rPr>
      <w:rFonts w:ascii="Times New Roman" w:eastAsia="Times New Roman" w:hAnsi="Times New Roman"/>
      <w:sz w:val="24"/>
      <w:lang w:eastAsia="en-US"/>
    </w:rPr>
  </w:style>
  <w:style w:type="paragraph" w:customStyle="1" w:styleId="Style-2">
    <w:name w:val="Style-2"/>
    <w:uiPriority w:val="99"/>
    <w:rsid w:val="006560F8"/>
    <w:rPr>
      <w:rFonts w:ascii="Times New Roman" w:eastAsia="Times New Roman" w:hAnsi="Times New Roman"/>
    </w:rPr>
  </w:style>
  <w:style w:type="paragraph" w:customStyle="1" w:styleId="Style-3">
    <w:name w:val="Style-3"/>
    <w:uiPriority w:val="99"/>
    <w:rsid w:val="006560F8"/>
    <w:rPr>
      <w:rFonts w:ascii="Times New Roman" w:eastAsia="Times New Roman" w:hAnsi="Times New Roman"/>
    </w:rPr>
  </w:style>
  <w:style w:type="paragraph" w:customStyle="1" w:styleId="Style-7">
    <w:name w:val="Style-7"/>
    <w:uiPriority w:val="99"/>
    <w:rsid w:val="006560F8"/>
    <w:rPr>
      <w:rFonts w:ascii="Times New Roman" w:eastAsia="Times New Roman" w:hAnsi="Times New Roman"/>
    </w:rPr>
  </w:style>
  <w:style w:type="paragraph" w:styleId="Paragraphedeliste">
    <w:name w:val="List Paragraph"/>
    <w:basedOn w:val="Normal"/>
    <w:uiPriority w:val="34"/>
    <w:qFormat/>
    <w:rsid w:val="00027236"/>
    <w:pPr>
      <w:spacing w:line="408" w:lineRule="atLeast"/>
      <w:ind w:left="720" w:hanging="357"/>
      <w:contextualSpacing/>
      <w:jc w:val="both"/>
    </w:pPr>
    <w:rPr>
      <w:rFonts w:ascii="Calibri" w:eastAsia="Calibri" w:hAnsi="Calibri"/>
      <w:sz w:val="22"/>
      <w:szCs w:val="22"/>
    </w:rPr>
  </w:style>
  <w:style w:type="character" w:customStyle="1" w:styleId="surligne">
    <w:name w:val="surligne"/>
    <w:basedOn w:val="Policepardfaut"/>
    <w:rsid w:val="009642C1"/>
  </w:style>
  <w:style w:type="paragraph" w:customStyle="1" w:styleId="Style2">
    <w:name w:val="Style2"/>
    <w:basedOn w:val="Titre1"/>
    <w:link w:val="Style2Car"/>
    <w:qFormat/>
    <w:rsid w:val="00497C47"/>
    <w:pPr>
      <w:numPr>
        <w:numId w:val="16"/>
      </w:numPr>
    </w:pPr>
  </w:style>
  <w:style w:type="character" w:customStyle="1" w:styleId="Style2Car">
    <w:name w:val="Style2 Car"/>
    <w:link w:val="Style2"/>
    <w:rsid w:val="00497C47"/>
    <w:rPr>
      <w:rFonts w:ascii="Arial Narrow" w:hAnsi="Arial Narrow"/>
      <w:b/>
      <w:caps/>
      <w:sz w:val="24"/>
      <w:szCs w:val="24"/>
    </w:rPr>
  </w:style>
  <w:style w:type="character" w:customStyle="1" w:styleId="NormalWebCar">
    <w:name w:val="Normal (Web) Car"/>
    <w:link w:val="NormalWeb"/>
    <w:rsid w:val="00EE2B20"/>
    <w:rPr>
      <w:rFonts w:ascii="Times New Roman" w:eastAsia="Times New Roman" w:hAnsi="Times New Roman"/>
      <w:sz w:val="24"/>
      <w:szCs w:val="24"/>
    </w:rPr>
  </w:style>
  <w:style w:type="numbering" w:customStyle="1" w:styleId="WW8Num41">
    <w:name w:val="WW8Num41"/>
    <w:rsid w:val="000D444E"/>
  </w:style>
  <w:style w:type="character" w:customStyle="1" w:styleId="italic">
    <w:name w:val="italic"/>
    <w:rsid w:val="00B01315"/>
  </w:style>
  <w:style w:type="paragraph" w:customStyle="1" w:styleId="Paragraphe12">
    <w:name w:val="Paragraphe_12"/>
    <w:basedOn w:val="Normal"/>
    <w:qFormat/>
    <w:rsid w:val="004B4B21"/>
    <w:pPr>
      <w:spacing w:before="240"/>
      <w:jc w:val="both"/>
    </w:pPr>
    <w:rPr>
      <w:rFonts w:ascii="Arial Narrow" w:hAnsi="Arial Narrow"/>
      <w:sz w:val="22"/>
      <w:szCs w:val="22"/>
      <w:lang w:eastAsia="fr-FR"/>
    </w:rPr>
  </w:style>
  <w:style w:type="paragraph" w:customStyle="1" w:styleId="Rfrence">
    <w:name w:val="Référence"/>
    <w:basedOn w:val="Normal"/>
    <w:next w:val="Paragraphe12"/>
    <w:autoRedefine/>
    <w:qFormat/>
    <w:rsid w:val="00705E74"/>
    <w:pPr>
      <w:spacing w:before="0"/>
      <w:ind w:left="284"/>
      <w:jc w:val="right"/>
    </w:pPr>
    <w:rPr>
      <w:rFonts w:ascii="Arial Narrow" w:eastAsia="Calibri" w:hAnsi="Arial Narrow"/>
      <w:b/>
      <w:color w:val="000000" w:themeColor="text1"/>
      <w:sz w:val="22"/>
      <w:szCs w:val="22"/>
      <w:lang w:eastAsia="fr-FR"/>
    </w:rPr>
  </w:style>
  <w:style w:type="paragraph" w:customStyle="1" w:styleId="Citation1">
    <w:name w:val="Citation_1"/>
    <w:basedOn w:val="Normal"/>
    <w:next w:val="Paragrretrait1"/>
    <w:qFormat/>
    <w:rsid w:val="009D3660"/>
    <w:pPr>
      <w:spacing w:before="60"/>
      <w:ind w:left="284"/>
      <w:jc w:val="both"/>
    </w:pPr>
    <w:rPr>
      <w:rFonts w:ascii="Arial Narrow" w:eastAsia="Calibri" w:hAnsi="Arial Narrow"/>
      <w:bCs/>
      <w:i/>
      <w:sz w:val="22"/>
      <w:szCs w:val="22"/>
      <w:lang w:eastAsia="fr-FR"/>
    </w:rPr>
  </w:style>
  <w:style w:type="paragraph" w:customStyle="1" w:styleId="listepucescitation">
    <w:name w:val="liste à puces_citation"/>
    <w:basedOn w:val="Normal"/>
    <w:qFormat/>
    <w:rsid w:val="00A53F66"/>
    <w:pPr>
      <w:numPr>
        <w:ilvl w:val="1"/>
        <w:numId w:val="18"/>
      </w:numPr>
      <w:tabs>
        <w:tab w:val="clear" w:pos="2160"/>
        <w:tab w:val="num" w:pos="567"/>
        <w:tab w:val="right" w:leader="dot" w:pos="8505"/>
      </w:tabs>
      <w:spacing w:before="60"/>
      <w:ind w:left="568" w:hanging="284"/>
      <w:jc w:val="both"/>
    </w:pPr>
    <w:rPr>
      <w:rFonts w:ascii="Arial Narrow" w:eastAsia="Calibri" w:hAnsi="Arial Narrow"/>
      <w:sz w:val="22"/>
      <w:szCs w:val="22"/>
      <w:lang w:eastAsia="fr-FR" w:bidi="hi-IN"/>
    </w:rPr>
  </w:style>
  <w:style w:type="paragraph" w:customStyle="1" w:styleId="listepuces20">
    <w:name w:val="liste à puces 2"/>
    <w:basedOn w:val="Normal"/>
    <w:next w:val="Paragrretrait1"/>
    <w:qFormat/>
    <w:rsid w:val="00EA0EF3"/>
    <w:pPr>
      <w:numPr>
        <w:numId w:val="17"/>
      </w:numPr>
      <w:tabs>
        <w:tab w:val="left" w:pos="284"/>
      </w:tabs>
      <w:spacing w:before="240"/>
      <w:ind w:left="284" w:hanging="142"/>
      <w:jc w:val="both"/>
    </w:pPr>
    <w:rPr>
      <w:rFonts w:ascii="Arial Narrow" w:hAnsi="Arial Narrow"/>
      <w:bCs/>
      <w:sz w:val="22"/>
      <w:szCs w:val="24"/>
      <w:lang w:eastAsia="fr-FR"/>
    </w:rPr>
  </w:style>
  <w:style w:type="paragraph" w:customStyle="1" w:styleId="Paragrretrait1">
    <w:name w:val="Paragr_retrait_1"/>
    <w:basedOn w:val="Normal"/>
    <w:qFormat/>
    <w:rsid w:val="00EA0EF3"/>
    <w:pPr>
      <w:spacing w:before="120"/>
      <w:ind w:left="284"/>
      <w:jc w:val="both"/>
    </w:pPr>
    <w:rPr>
      <w:rFonts w:ascii="Arial Narrow" w:hAnsi="Arial Narrow"/>
      <w:bCs/>
      <w:sz w:val="22"/>
      <w:szCs w:val="24"/>
      <w:lang w:eastAsia="fr-FR"/>
    </w:rPr>
  </w:style>
  <w:style w:type="numbering" w:customStyle="1" w:styleId="Aucuneliste1">
    <w:name w:val="Aucune liste1"/>
    <w:next w:val="Aucuneliste"/>
    <w:uiPriority w:val="99"/>
    <w:semiHidden/>
    <w:unhideWhenUsed/>
    <w:rsid w:val="00480C2E"/>
  </w:style>
  <w:style w:type="paragraph" w:customStyle="1" w:styleId="Sansinterligne2">
    <w:name w:val="Sans interligne2"/>
    <w:semiHidden/>
    <w:rsid w:val="00480C2E"/>
    <w:rPr>
      <w:rFonts w:ascii="Times New Roman" w:eastAsia="Times New Roman" w:hAnsi="Times New Roman"/>
      <w:sz w:val="24"/>
      <w:lang w:eastAsia="en-US"/>
    </w:rPr>
  </w:style>
  <w:style w:type="paragraph" w:customStyle="1" w:styleId="Rvision3">
    <w:name w:val="Révision3"/>
    <w:semiHidden/>
    <w:rsid w:val="00480C2E"/>
    <w:rPr>
      <w:rFonts w:ascii="Times New Roman" w:eastAsia="Times New Roman" w:hAnsi="Times New Roman"/>
      <w:sz w:val="24"/>
      <w:lang w:eastAsia="en-US"/>
    </w:rPr>
  </w:style>
  <w:style w:type="paragraph" w:customStyle="1" w:styleId="Titre32">
    <w:name w:val="Titre 32"/>
    <w:basedOn w:val="Titrebase"/>
    <w:next w:val="Textbody"/>
    <w:semiHidden/>
    <w:rsid w:val="00480C2E"/>
    <w:pPr>
      <w:widowControl w:val="0"/>
      <w:tabs>
        <w:tab w:val="left" w:pos="720"/>
      </w:tabs>
      <w:suppressAutoHyphens/>
      <w:adjustRightInd/>
      <w:spacing w:before="120"/>
      <w:ind w:left="-626"/>
      <w:outlineLvl w:val="2"/>
    </w:pPr>
    <w:rPr>
      <w:rFonts w:eastAsia="Lucida Sans Unicode" w:cs="Tahoma"/>
      <w:kern w:val="3"/>
      <w:sz w:val="24"/>
    </w:rPr>
  </w:style>
  <w:style w:type="paragraph" w:customStyle="1" w:styleId="Titre22">
    <w:name w:val="Titre 22"/>
    <w:basedOn w:val="Normal"/>
    <w:next w:val="Textbody"/>
    <w:semiHidden/>
    <w:rsid w:val="00480C2E"/>
    <w:pPr>
      <w:keepNext/>
      <w:widowControl w:val="0"/>
      <w:tabs>
        <w:tab w:val="left" w:pos="540"/>
      </w:tabs>
      <w:suppressAutoHyphens/>
      <w:autoSpaceDN w:val="0"/>
      <w:spacing w:before="120"/>
      <w:ind w:left="-360"/>
      <w:outlineLvl w:val="1"/>
    </w:pPr>
    <w:rPr>
      <w:rFonts w:eastAsia="Lucida Sans Unicode" w:cs="Tahoma"/>
      <w:b/>
      <w:spacing w:val="6"/>
      <w:kern w:val="3"/>
      <w:szCs w:val="24"/>
      <w:lang w:eastAsia="fr-FR"/>
    </w:rPr>
  </w:style>
  <w:style w:type="table" w:customStyle="1" w:styleId="Grilledutableau1">
    <w:name w:val="Grille du tableau1"/>
    <w:basedOn w:val="TableauNormal"/>
    <w:next w:val="Grilledutableau"/>
    <w:uiPriority w:val="59"/>
    <w:rsid w:val="00480C2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1">
    <w:name w:val="WW8Num411"/>
    <w:rsid w:val="00480C2E"/>
    <w:pPr>
      <w:numPr>
        <w:numId w:val="19"/>
      </w:numPr>
    </w:pPr>
  </w:style>
  <w:style w:type="numbering" w:customStyle="1" w:styleId="WW8Num412">
    <w:name w:val="WW8Num412"/>
    <w:rsid w:val="002C50AE"/>
  </w:style>
  <w:style w:type="paragraph" w:customStyle="1" w:styleId="listepuces1esp12">
    <w:name w:val="liste à puces 1 esp 12"/>
    <w:basedOn w:val="Normal"/>
    <w:autoRedefine/>
    <w:qFormat/>
    <w:rsid w:val="00F278F6"/>
    <w:pPr>
      <w:numPr>
        <w:numId w:val="21"/>
      </w:numPr>
      <w:tabs>
        <w:tab w:val="left" w:pos="426"/>
      </w:tabs>
      <w:spacing w:before="240"/>
      <w:ind w:left="426" w:hanging="426"/>
      <w:jc w:val="both"/>
    </w:pPr>
    <w:rPr>
      <w:rFonts w:ascii="Arial Narrow" w:eastAsia="Calibri" w:hAnsi="Arial Narrow"/>
      <w:b/>
      <w:spacing w:val="-4"/>
      <w:sz w:val="22"/>
      <w:szCs w:val="22"/>
      <w:lang w:eastAsia="fr-FR"/>
    </w:rPr>
  </w:style>
  <w:style w:type="numbering" w:customStyle="1" w:styleId="WW8Num413">
    <w:name w:val="WW8Num413"/>
    <w:rsid w:val="0032413A"/>
  </w:style>
  <w:style w:type="character" w:styleId="Accentuationlgre">
    <w:name w:val="Subtle Emphasis"/>
    <w:basedOn w:val="Policepardfaut"/>
    <w:uiPriority w:val="19"/>
    <w:qFormat/>
    <w:rsid w:val="0015625F"/>
    <w:rPr>
      <w:rFonts w:ascii="Arial Narrow" w:hAnsi="Arial Narrow"/>
      <w:iCs/>
    </w:rPr>
  </w:style>
  <w:style w:type="paragraph" w:customStyle="1" w:styleId="listepuces30">
    <w:name w:val="liste à puces 3"/>
    <w:basedOn w:val="listepuces20"/>
    <w:qFormat/>
    <w:rsid w:val="00D25C91"/>
    <w:pPr>
      <w:tabs>
        <w:tab w:val="left" w:pos="567"/>
      </w:tabs>
      <w:spacing w:before="120"/>
      <w:ind w:left="567" w:hanging="141"/>
    </w:pPr>
    <w:rPr>
      <w:rFonts w:eastAsia="Calibri"/>
    </w:rPr>
  </w:style>
  <w:style w:type="paragraph" w:customStyle="1" w:styleId="Style3">
    <w:name w:val="Style3"/>
    <w:basedOn w:val="Listepuces"/>
    <w:qFormat/>
    <w:rsid w:val="00D25C91"/>
    <w:pPr>
      <w:numPr>
        <w:ilvl w:val="1"/>
      </w:numPr>
      <w:tabs>
        <w:tab w:val="clear" w:pos="1440"/>
        <w:tab w:val="num" w:pos="567"/>
      </w:tabs>
      <w:spacing w:before="60"/>
      <w:ind w:left="567" w:hanging="283"/>
    </w:pPr>
  </w:style>
  <w:style w:type="numbering" w:customStyle="1" w:styleId="WW8Num414">
    <w:name w:val="WW8Num414"/>
    <w:rsid w:val="00200719"/>
  </w:style>
  <w:style w:type="numbering" w:customStyle="1" w:styleId="WW8Num415">
    <w:name w:val="WW8Num415"/>
    <w:rsid w:val="0044323C"/>
  </w:style>
  <w:style w:type="character" w:styleId="Rfrencelgre">
    <w:name w:val="Subtle Reference"/>
    <w:basedOn w:val="Policepardfaut"/>
    <w:uiPriority w:val="31"/>
    <w:qFormat/>
    <w:rsid w:val="00D4310A"/>
    <w:rPr>
      <w:smallCaps/>
      <w:color w:val="C0504D" w:themeColor="accent2"/>
      <w:u w:val="single"/>
    </w:rPr>
  </w:style>
  <w:style w:type="numbering" w:customStyle="1" w:styleId="WW8Num4111">
    <w:name w:val="WW8Num4111"/>
    <w:rsid w:val="004F543E"/>
  </w:style>
  <w:style w:type="paragraph" w:customStyle="1" w:styleId="listepucesb">
    <w:name w:val="liste à puces b"/>
    <w:basedOn w:val="listepucescitation"/>
    <w:qFormat/>
    <w:rsid w:val="004F543E"/>
    <w:pPr>
      <w:numPr>
        <w:ilvl w:val="0"/>
        <w:numId w:val="22"/>
      </w:numPr>
      <w:ind w:left="1134" w:firstLine="0"/>
    </w:pPr>
    <w:rPr>
      <w:rFonts w:ascii="Times New Roman" w:eastAsia="Times New Roman" w:hAnsi="Times New Roman"/>
      <w:b/>
      <w:sz w:val="24"/>
      <w:szCs w:val="24"/>
      <w:lang w:bidi="ar-SA"/>
    </w:rPr>
  </w:style>
  <w:style w:type="paragraph" w:styleId="Citation">
    <w:name w:val="Quote"/>
    <w:basedOn w:val="Normal"/>
    <w:next w:val="Normal"/>
    <w:link w:val="CitationCar"/>
    <w:uiPriority w:val="29"/>
    <w:qFormat/>
    <w:rsid w:val="00FF4EE7"/>
    <w:rPr>
      <w:i/>
      <w:iCs/>
      <w:color w:val="000000" w:themeColor="text1"/>
    </w:rPr>
  </w:style>
  <w:style w:type="character" w:customStyle="1" w:styleId="CitationCar">
    <w:name w:val="Citation Car"/>
    <w:basedOn w:val="Policepardfaut"/>
    <w:link w:val="Citation"/>
    <w:uiPriority w:val="29"/>
    <w:rsid w:val="00FF4EE7"/>
    <w:rPr>
      <w:rFonts w:ascii="Times New Roman" w:eastAsia="Times New Roman" w:hAnsi="Times New Roman"/>
      <w:i/>
      <w:iCs/>
      <w:color w:val="000000" w:themeColor="text1"/>
      <w:sz w:val="24"/>
      <w:lang w:eastAsia="en-US"/>
    </w:rPr>
  </w:style>
  <w:style w:type="numbering" w:customStyle="1" w:styleId="WW8Num416">
    <w:name w:val="WW8Num416"/>
    <w:rsid w:val="00D41D18"/>
  </w:style>
  <w:style w:type="character" w:styleId="Mentionnonrsolue">
    <w:name w:val="Unresolved Mention"/>
    <w:basedOn w:val="Policepardfaut"/>
    <w:uiPriority w:val="99"/>
    <w:semiHidden/>
    <w:unhideWhenUsed/>
    <w:rsid w:val="00244A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84468">
      <w:bodyDiv w:val="1"/>
      <w:marLeft w:val="0"/>
      <w:marRight w:val="0"/>
      <w:marTop w:val="0"/>
      <w:marBottom w:val="0"/>
      <w:divBdr>
        <w:top w:val="none" w:sz="0" w:space="0" w:color="auto"/>
        <w:left w:val="none" w:sz="0" w:space="0" w:color="auto"/>
        <w:bottom w:val="none" w:sz="0" w:space="0" w:color="auto"/>
        <w:right w:val="none" w:sz="0" w:space="0" w:color="auto"/>
      </w:divBdr>
    </w:div>
    <w:div w:id="92937569">
      <w:bodyDiv w:val="1"/>
      <w:marLeft w:val="0"/>
      <w:marRight w:val="0"/>
      <w:marTop w:val="0"/>
      <w:marBottom w:val="0"/>
      <w:divBdr>
        <w:top w:val="none" w:sz="0" w:space="0" w:color="auto"/>
        <w:left w:val="none" w:sz="0" w:space="0" w:color="auto"/>
        <w:bottom w:val="none" w:sz="0" w:space="0" w:color="auto"/>
        <w:right w:val="none" w:sz="0" w:space="0" w:color="auto"/>
      </w:divBdr>
    </w:div>
    <w:div w:id="93090224">
      <w:bodyDiv w:val="1"/>
      <w:marLeft w:val="0"/>
      <w:marRight w:val="0"/>
      <w:marTop w:val="0"/>
      <w:marBottom w:val="0"/>
      <w:divBdr>
        <w:top w:val="none" w:sz="0" w:space="0" w:color="auto"/>
        <w:left w:val="none" w:sz="0" w:space="0" w:color="auto"/>
        <w:bottom w:val="none" w:sz="0" w:space="0" w:color="auto"/>
        <w:right w:val="none" w:sz="0" w:space="0" w:color="auto"/>
      </w:divBdr>
    </w:div>
    <w:div w:id="139158150">
      <w:bodyDiv w:val="1"/>
      <w:marLeft w:val="0"/>
      <w:marRight w:val="0"/>
      <w:marTop w:val="0"/>
      <w:marBottom w:val="0"/>
      <w:divBdr>
        <w:top w:val="none" w:sz="0" w:space="0" w:color="auto"/>
        <w:left w:val="none" w:sz="0" w:space="0" w:color="auto"/>
        <w:bottom w:val="none" w:sz="0" w:space="0" w:color="auto"/>
        <w:right w:val="none" w:sz="0" w:space="0" w:color="auto"/>
      </w:divBdr>
    </w:div>
    <w:div w:id="473837667">
      <w:bodyDiv w:val="1"/>
      <w:marLeft w:val="0"/>
      <w:marRight w:val="0"/>
      <w:marTop w:val="0"/>
      <w:marBottom w:val="0"/>
      <w:divBdr>
        <w:top w:val="none" w:sz="0" w:space="0" w:color="auto"/>
        <w:left w:val="none" w:sz="0" w:space="0" w:color="auto"/>
        <w:bottom w:val="none" w:sz="0" w:space="0" w:color="auto"/>
        <w:right w:val="none" w:sz="0" w:space="0" w:color="auto"/>
      </w:divBdr>
    </w:div>
    <w:div w:id="732314129">
      <w:bodyDiv w:val="1"/>
      <w:marLeft w:val="0"/>
      <w:marRight w:val="0"/>
      <w:marTop w:val="0"/>
      <w:marBottom w:val="0"/>
      <w:divBdr>
        <w:top w:val="none" w:sz="0" w:space="0" w:color="auto"/>
        <w:left w:val="none" w:sz="0" w:space="0" w:color="auto"/>
        <w:bottom w:val="none" w:sz="0" w:space="0" w:color="auto"/>
        <w:right w:val="none" w:sz="0" w:space="0" w:color="auto"/>
      </w:divBdr>
    </w:div>
    <w:div w:id="833570873">
      <w:bodyDiv w:val="1"/>
      <w:marLeft w:val="0"/>
      <w:marRight w:val="0"/>
      <w:marTop w:val="0"/>
      <w:marBottom w:val="0"/>
      <w:divBdr>
        <w:top w:val="none" w:sz="0" w:space="0" w:color="auto"/>
        <w:left w:val="none" w:sz="0" w:space="0" w:color="auto"/>
        <w:bottom w:val="none" w:sz="0" w:space="0" w:color="auto"/>
        <w:right w:val="none" w:sz="0" w:space="0" w:color="auto"/>
      </w:divBdr>
      <w:divsChild>
        <w:div w:id="374933435">
          <w:marLeft w:val="0"/>
          <w:marRight w:val="0"/>
          <w:marTop w:val="0"/>
          <w:marBottom w:val="0"/>
          <w:divBdr>
            <w:top w:val="none" w:sz="0" w:space="0" w:color="auto"/>
            <w:left w:val="none" w:sz="0" w:space="0" w:color="auto"/>
            <w:bottom w:val="none" w:sz="0" w:space="0" w:color="auto"/>
            <w:right w:val="none" w:sz="0" w:space="0" w:color="auto"/>
          </w:divBdr>
          <w:divsChild>
            <w:div w:id="512840293">
              <w:marLeft w:val="0"/>
              <w:marRight w:val="0"/>
              <w:marTop w:val="0"/>
              <w:marBottom w:val="0"/>
              <w:divBdr>
                <w:top w:val="none" w:sz="0" w:space="0" w:color="auto"/>
                <w:left w:val="none" w:sz="0" w:space="0" w:color="auto"/>
                <w:bottom w:val="none" w:sz="0" w:space="0" w:color="auto"/>
                <w:right w:val="none" w:sz="0" w:space="0" w:color="auto"/>
              </w:divBdr>
              <w:divsChild>
                <w:div w:id="1289355485">
                  <w:marLeft w:val="0"/>
                  <w:marRight w:val="0"/>
                  <w:marTop w:val="0"/>
                  <w:marBottom w:val="0"/>
                  <w:divBdr>
                    <w:top w:val="none" w:sz="0" w:space="0" w:color="auto"/>
                    <w:left w:val="none" w:sz="0" w:space="0" w:color="auto"/>
                    <w:bottom w:val="none" w:sz="0" w:space="0" w:color="auto"/>
                    <w:right w:val="none" w:sz="0" w:space="0" w:color="auto"/>
                  </w:divBdr>
                </w:div>
              </w:divsChild>
            </w:div>
            <w:div w:id="287207452">
              <w:marLeft w:val="0"/>
              <w:marRight w:val="0"/>
              <w:marTop w:val="0"/>
              <w:marBottom w:val="0"/>
              <w:divBdr>
                <w:top w:val="none" w:sz="0" w:space="0" w:color="auto"/>
                <w:left w:val="none" w:sz="0" w:space="0" w:color="auto"/>
                <w:bottom w:val="none" w:sz="0" w:space="0" w:color="auto"/>
                <w:right w:val="none" w:sz="0" w:space="0" w:color="auto"/>
              </w:divBdr>
              <w:divsChild>
                <w:div w:id="18710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929981">
          <w:marLeft w:val="0"/>
          <w:marRight w:val="0"/>
          <w:marTop w:val="0"/>
          <w:marBottom w:val="0"/>
          <w:divBdr>
            <w:top w:val="none" w:sz="0" w:space="0" w:color="auto"/>
            <w:left w:val="none" w:sz="0" w:space="0" w:color="auto"/>
            <w:bottom w:val="none" w:sz="0" w:space="0" w:color="auto"/>
            <w:right w:val="none" w:sz="0" w:space="0" w:color="auto"/>
          </w:divBdr>
          <w:divsChild>
            <w:div w:id="1270045845">
              <w:marLeft w:val="0"/>
              <w:marRight w:val="0"/>
              <w:marTop w:val="0"/>
              <w:marBottom w:val="0"/>
              <w:divBdr>
                <w:top w:val="none" w:sz="0" w:space="0" w:color="auto"/>
                <w:left w:val="none" w:sz="0" w:space="0" w:color="auto"/>
                <w:bottom w:val="none" w:sz="0" w:space="0" w:color="auto"/>
                <w:right w:val="none" w:sz="0" w:space="0" w:color="auto"/>
              </w:divBdr>
              <w:divsChild>
                <w:div w:id="442653291">
                  <w:marLeft w:val="0"/>
                  <w:marRight w:val="0"/>
                  <w:marTop w:val="0"/>
                  <w:marBottom w:val="0"/>
                  <w:divBdr>
                    <w:top w:val="none" w:sz="0" w:space="0" w:color="auto"/>
                    <w:left w:val="none" w:sz="0" w:space="0" w:color="auto"/>
                    <w:bottom w:val="none" w:sz="0" w:space="0" w:color="auto"/>
                    <w:right w:val="none" w:sz="0" w:space="0" w:color="auto"/>
                  </w:divBdr>
                </w:div>
              </w:divsChild>
            </w:div>
            <w:div w:id="1422027398">
              <w:marLeft w:val="0"/>
              <w:marRight w:val="0"/>
              <w:marTop w:val="0"/>
              <w:marBottom w:val="0"/>
              <w:divBdr>
                <w:top w:val="none" w:sz="0" w:space="0" w:color="auto"/>
                <w:left w:val="none" w:sz="0" w:space="0" w:color="auto"/>
                <w:bottom w:val="none" w:sz="0" w:space="0" w:color="auto"/>
                <w:right w:val="none" w:sz="0" w:space="0" w:color="auto"/>
              </w:divBdr>
              <w:divsChild>
                <w:div w:id="1710106722">
                  <w:marLeft w:val="0"/>
                  <w:marRight w:val="0"/>
                  <w:marTop w:val="0"/>
                  <w:marBottom w:val="0"/>
                  <w:divBdr>
                    <w:top w:val="none" w:sz="0" w:space="0" w:color="auto"/>
                    <w:left w:val="none" w:sz="0" w:space="0" w:color="auto"/>
                    <w:bottom w:val="none" w:sz="0" w:space="0" w:color="auto"/>
                    <w:right w:val="none" w:sz="0" w:space="0" w:color="auto"/>
                  </w:divBdr>
                </w:div>
              </w:divsChild>
            </w:div>
            <w:div w:id="148862399">
              <w:marLeft w:val="0"/>
              <w:marRight w:val="0"/>
              <w:marTop w:val="0"/>
              <w:marBottom w:val="0"/>
              <w:divBdr>
                <w:top w:val="none" w:sz="0" w:space="0" w:color="auto"/>
                <w:left w:val="none" w:sz="0" w:space="0" w:color="auto"/>
                <w:bottom w:val="none" w:sz="0" w:space="0" w:color="auto"/>
                <w:right w:val="none" w:sz="0" w:space="0" w:color="auto"/>
              </w:divBdr>
              <w:divsChild>
                <w:div w:id="906455284">
                  <w:marLeft w:val="0"/>
                  <w:marRight w:val="0"/>
                  <w:marTop w:val="0"/>
                  <w:marBottom w:val="0"/>
                  <w:divBdr>
                    <w:top w:val="none" w:sz="0" w:space="0" w:color="auto"/>
                    <w:left w:val="none" w:sz="0" w:space="0" w:color="auto"/>
                    <w:bottom w:val="none" w:sz="0" w:space="0" w:color="auto"/>
                    <w:right w:val="none" w:sz="0" w:space="0" w:color="auto"/>
                  </w:divBdr>
                </w:div>
              </w:divsChild>
            </w:div>
            <w:div w:id="535050318">
              <w:marLeft w:val="0"/>
              <w:marRight w:val="0"/>
              <w:marTop w:val="0"/>
              <w:marBottom w:val="0"/>
              <w:divBdr>
                <w:top w:val="none" w:sz="0" w:space="0" w:color="auto"/>
                <w:left w:val="none" w:sz="0" w:space="0" w:color="auto"/>
                <w:bottom w:val="none" w:sz="0" w:space="0" w:color="auto"/>
                <w:right w:val="none" w:sz="0" w:space="0" w:color="auto"/>
              </w:divBdr>
              <w:divsChild>
                <w:div w:id="1509099684">
                  <w:marLeft w:val="0"/>
                  <w:marRight w:val="0"/>
                  <w:marTop w:val="0"/>
                  <w:marBottom w:val="0"/>
                  <w:divBdr>
                    <w:top w:val="none" w:sz="0" w:space="0" w:color="auto"/>
                    <w:left w:val="none" w:sz="0" w:space="0" w:color="auto"/>
                    <w:bottom w:val="none" w:sz="0" w:space="0" w:color="auto"/>
                    <w:right w:val="none" w:sz="0" w:space="0" w:color="auto"/>
                  </w:divBdr>
                </w:div>
                <w:div w:id="2144424619">
                  <w:marLeft w:val="0"/>
                  <w:marRight w:val="0"/>
                  <w:marTop w:val="0"/>
                  <w:marBottom w:val="0"/>
                  <w:divBdr>
                    <w:top w:val="none" w:sz="0" w:space="0" w:color="auto"/>
                    <w:left w:val="none" w:sz="0" w:space="0" w:color="auto"/>
                    <w:bottom w:val="none" w:sz="0" w:space="0" w:color="auto"/>
                    <w:right w:val="none" w:sz="0" w:space="0" w:color="auto"/>
                  </w:divBdr>
                </w:div>
                <w:div w:id="440689654">
                  <w:marLeft w:val="0"/>
                  <w:marRight w:val="0"/>
                  <w:marTop w:val="0"/>
                  <w:marBottom w:val="0"/>
                  <w:divBdr>
                    <w:top w:val="none" w:sz="0" w:space="0" w:color="auto"/>
                    <w:left w:val="none" w:sz="0" w:space="0" w:color="auto"/>
                    <w:bottom w:val="none" w:sz="0" w:space="0" w:color="auto"/>
                    <w:right w:val="none" w:sz="0" w:space="0" w:color="auto"/>
                  </w:divBdr>
                </w:div>
                <w:div w:id="2042437294">
                  <w:marLeft w:val="0"/>
                  <w:marRight w:val="0"/>
                  <w:marTop w:val="0"/>
                  <w:marBottom w:val="0"/>
                  <w:divBdr>
                    <w:top w:val="none" w:sz="0" w:space="0" w:color="auto"/>
                    <w:left w:val="none" w:sz="0" w:space="0" w:color="auto"/>
                    <w:bottom w:val="none" w:sz="0" w:space="0" w:color="auto"/>
                    <w:right w:val="none" w:sz="0" w:space="0" w:color="auto"/>
                  </w:divBdr>
                </w:div>
                <w:div w:id="205954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878037">
      <w:bodyDiv w:val="1"/>
      <w:marLeft w:val="0"/>
      <w:marRight w:val="0"/>
      <w:marTop w:val="0"/>
      <w:marBottom w:val="0"/>
      <w:divBdr>
        <w:top w:val="none" w:sz="0" w:space="0" w:color="auto"/>
        <w:left w:val="none" w:sz="0" w:space="0" w:color="auto"/>
        <w:bottom w:val="none" w:sz="0" w:space="0" w:color="auto"/>
        <w:right w:val="none" w:sz="0" w:space="0" w:color="auto"/>
      </w:divBdr>
    </w:div>
    <w:div w:id="1085616247">
      <w:bodyDiv w:val="1"/>
      <w:marLeft w:val="0"/>
      <w:marRight w:val="0"/>
      <w:marTop w:val="0"/>
      <w:marBottom w:val="0"/>
      <w:divBdr>
        <w:top w:val="none" w:sz="0" w:space="0" w:color="auto"/>
        <w:left w:val="none" w:sz="0" w:space="0" w:color="auto"/>
        <w:bottom w:val="none" w:sz="0" w:space="0" w:color="auto"/>
        <w:right w:val="none" w:sz="0" w:space="0" w:color="auto"/>
      </w:divBdr>
    </w:div>
    <w:div w:id="1152599165">
      <w:bodyDiv w:val="1"/>
      <w:marLeft w:val="0"/>
      <w:marRight w:val="0"/>
      <w:marTop w:val="0"/>
      <w:marBottom w:val="0"/>
      <w:divBdr>
        <w:top w:val="none" w:sz="0" w:space="0" w:color="auto"/>
        <w:left w:val="none" w:sz="0" w:space="0" w:color="auto"/>
        <w:bottom w:val="none" w:sz="0" w:space="0" w:color="auto"/>
        <w:right w:val="none" w:sz="0" w:space="0" w:color="auto"/>
      </w:divBdr>
    </w:div>
    <w:div w:id="1303382983">
      <w:bodyDiv w:val="1"/>
      <w:marLeft w:val="0"/>
      <w:marRight w:val="0"/>
      <w:marTop w:val="0"/>
      <w:marBottom w:val="0"/>
      <w:divBdr>
        <w:top w:val="none" w:sz="0" w:space="0" w:color="auto"/>
        <w:left w:val="none" w:sz="0" w:space="0" w:color="auto"/>
        <w:bottom w:val="none" w:sz="0" w:space="0" w:color="auto"/>
        <w:right w:val="none" w:sz="0" w:space="0" w:color="auto"/>
      </w:divBdr>
    </w:div>
    <w:div w:id="1510290818">
      <w:bodyDiv w:val="1"/>
      <w:marLeft w:val="0"/>
      <w:marRight w:val="0"/>
      <w:marTop w:val="0"/>
      <w:marBottom w:val="0"/>
      <w:divBdr>
        <w:top w:val="none" w:sz="0" w:space="0" w:color="auto"/>
        <w:left w:val="none" w:sz="0" w:space="0" w:color="auto"/>
        <w:bottom w:val="none" w:sz="0" w:space="0" w:color="auto"/>
        <w:right w:val="none" w:sz="0" w:space="0" w:color="auto"/>
      </w:divBdr>
      <w:divsChild>
        <w:div w:id="1135025109">
          <w:marLeft w:val="0"/>
          <w:marRight w:val="0"/>
          <w:marTop w:val="0"/>
          <w:marBottom w:val="0"/>
          <w:divBdr>
            <w:top w:val="none" w:sz="0" w:space="0" w:color="auto"/>
            <w:left w:val="none" w:sz="0" w:space="0" w:color="auto"/>
            <w:bottom w:val="none" w:sz="0" w:space="0" w:color="auto"/>
            <w:right w:val="none" w:sz="0" w:space="0" w:color="auto"/>
          </w:divBdr>
          <w:divsChild>
            <w:div w:id="1186679131">
              <w:marLeft w:val="0"/>
              <w:marRight w:val="0"/>
              <w:marTop w:val="0"/>
              <w:marBottom w:val="0"/>
              <w:divBdr>
                <w:top w:val="none" w:sz="0" w:space="0" w:color="auto"/>
                <w:left w:val="none" w:sz="0" w:space="0" w:color="auto"/>
                <w:bottom w:val="none" w:sz="0" w:space="0" w:color="auto"/>
                <w:right w:val="none" w:sz="0" w:space="0" w:color="auto"/>
              </w:divBdr>
              <w:divsChild>
                <w:div w:id="659116313">
                  <w:marLeft w:val="0"/>
                  <w:marRight w:val="0"/>
                  <w:marTop w:val="0"/>
                  <w:marBottom w:val="0"/>
                  <w:divBdr>
                    <w:top w:val="none" w:sz="0" w:space="0" w:color="auto"/>
                    <w:left w:val="none" w:sz="0" w:space="0" w:color="auto"/>
                    <w:bottom w:val="none" w:sz="0" w:space="0" w:color="auto"/>
                    <w:right w:val="none" w:sz="0" w:space="0" w:color="auto"/>
                  </w:divBdr>
                  <w:divsChild>
                    <w:div w:id="244145386">
                      <w:marLeft w:val="0"/>
                      <w:marRight w:val="0"/>
                      <w:marTop w:val="0"/>
                      <w:marBottom w:val="0"/>
                      <w:divBdr>
                        <w:top w:val="none" w:sz="0" w:space="0" w:color="auto"/>
                        <w:left w:val="none" w:sz="0" w:space="0" w:color="auto"/>
                        <w:bottom w:val="none" w:sz="0" w:space="0" w:color="auto"/>
                        <w:right w:val="none" w:sz="0" w:space="0" w:color="auto"/>
                      </w:divBdr>
                      <w:divsChild>
                        <w:div w:id="1191184788">
                          <w:marLeft w:val="0"/>
                          <w:marRight w:val="0"/>
                          <w:marTop w:val="0"/>
                          <w:marBottom w:val="0"/>
                          <w:divBdr>
                            <w:top w:val="none" w:sz="0" w:space="0" w:color="auto"/>
                            <w:left w:val="none" w:sz="0" w:space="0" w:color="auto"/>
                            <w:bottom w:val="none" w:sz="0" w:space="0" w:color="auto"/>
                            <w:right w:val="none" w:sz="0" w:space="0" w:color="auto"/>
                          </w:divBdr>
                          <w:divsChild>
                            <w:div w:id="1171482570">
                              <w:marLeft w:val="0"/>
                              <w:marRight w:val="0"/>
                              <w:marTop w:val="0"/>
                              <w:marBottom w:val="0"/>
                              <w:divBdr>
                                <w:top w:val="none" w:sz="0" w:space="0" w:color="auto"/>
                                <w:left w:val="none" w:sz="0" w:space="0" w:color="auto"/>
                                <w:bottom w:val="none" w:sz="0" w:space="0" w:color="auto"/>
                                <w:right w:val="none" w:sz="0" w:space="0" w:color="auto"/>
                              </w:divBdr>
                              <w:divsChild>
                                <w:div w:id="20383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474537">
      <w:bodyDiv w:val="1"/>
      <w:marLeft w:val="0"/>
      <w:marRight w:val="0"/>
      <w:marTop w:val="0"/>
      <w:marBottom w:val="0"/>
      <w:divBdr>
        <w:top w:val="none" w:sz="0" w:space="0" w:color="auto"/>
        <w:left w:val="none" w:sz="0" w:space="0" w:color="auto"/>
        <w:bottom w:val="none" w:sz="0" w:space="0" w:color="auto"/>
        <w:right w:val="none" w:sz="0" w:space="0" w:color="auto"/>
      </w:divBdr>
      <w:divsChild>
        <w:div w:id="1926330991">
          <w:marLeft w:val="0"/>
          <w:marRight w:val="0"/>
          <w:marTop w:val="0"/>
          <w:marBottom w:val="0"/>
          <w:divBdr>
            <w:top w:val="none" w:sz="0" w:space="0" w:color="auto"/>
            <w:left w:val="none" w:sz="0" w:space="0" w:color="auto"/>
            <w:bottom w:val="none" w:sz="0" w:space="0" w:color="auto"/>
            <w:right w:val="none" w:sz="0" w:space="0" w:color="auto"/>
          </w:divBdr>
          <w:divsChild>
            <w:div w:id="1914969893">
              <w:marLeft w:val="0"/>
              <w:marRight w:val="0"/>
              <w:marTop w:val="0"/>
              <w:marBottom w:val="0"/>
              <w:divBdr>
                <w:top w:val="none" w:sz="0" w:space="0" w:color="auto"/>
                <w:left w:val="none" w:sz="0" w:space="0" w:color="auto"/>
                <w:bottom w:val="none" w:sz="0" w:space="0" w:color="auto"/>
                <w:right w:val="none" w:sz="0" w:space="0" w:color="auto"/>
              </w:divBdr>
              <w:divsChild>
                <w:div w:id="1365054492">
                  <w:marLeft w:val="0"/>
                  <w:marRight w:val="0"/>
                  <w:marTop w:val="0"/>
                  <w:marBottom w:val="0"/>
                  <w:divBdr>
                    <w:top w:val="none" w:sz="0" w:space="0" w:color="auto"/>
                    <w:left w:val="none" w:sz="0" w:space="0" w:color="auto"/>
                    <w:bottom w:val="none" w:sz="0" w:space="0" w:color="auto"/>
                    <w:right w:val="none" w:sz="0" w:space="0" w:color="auto"/>
                  </w:divBdr>
                </w:div>
              </w:divsChild>
            </w:div>
            <w:div w:id="1065836457">
              <w:marLeft w:val="0"/>
              <w:marRight w:val="0"/>
              <w:marTop w:val="0"/>
              <w:marBottom w:val="0"/>
              <w:divBdr>
                <w:top w:val="none" w:sz="0" w:space="0" w:color="auto"/>
                <w:left w:val="none" w:sz="0" w:space="0" w:color="auto"/>
                <w:bottom w:val="none" w:sz="0" w:space="0" w:color="auto"/>
                <w:right w:val="none" w:sz="0" w:space="0" w:color="auto"/>
              </w:divBdr>
              <w:divsChild>
                <w:div w:id="191295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670266">
          <w:marLeft w:val="0"/>
          <w:marRight w:val="0"/>
          <w:marTop w:val="0"/>
          <w:marBottom w:val="0"/>
          <w:divBdr>
            <w:top w:val="none" w:sz="0" w:space="0" w:color="auto"/>
            <w:left w:val="none" w:sz="0" w:space="0" w:color="auto"/>
            <w:bottom w:val="none" w:sz="0" w:space="0" w:color="auto"/>
            <w:right w:val="none" w:sz="0" w:space="0" w:color="auto"/>
          </w:divBdr>
          <w:divsChild>
            <w:div w:id="543178509">
              <w:marLeft w:val="0"/>
              <w:marRight w:val="0"/>
              <w:marTop w:val="0"/>
              <w:marBottom w:val="0"/>
              <w:divBdr>
                <w:top w:val="none" w:sz="0" w:space="0" w:color="auto"/>
                <w:left w:val="none" w:sz="0" w:space="0" w:color="auto"/>
                <w:bottom w:val="none" w:sz="0" w:space="0" w:color="auto"/>
                <w:right w:val="none" w:sz="0" w:space="0" w:color="auto"/>
              </w:divBdr>
            </w:div>
            <w:div w:id="502742439">
              <w:marLeft w:val="0"/>
              <w:marRight w:val="0"/>
              <w:marTop w:val="0"/>
              <w:marBottom w:val="0"/>
              <w:divBdr>
                <w:top w:val="none" w:sz="0" w:space="0" w:color="auto"/>
                <w:left w:val="none" w:sz="0" w:space="0" w:color="auto"/>
                <w:bottom w:val="none" w:sz="0" w:space="0" w:color="auto"/>
                <w:right w:val="none" w:sz="0" w:space="0" w:color="auto"/>
              </w:divBdr>
              <w:divsChild>
                <w:div w:id="1628929861">
                  <w:marLeft w:val="0"/>
                  <w:marRight w:val="0"/>
                  <w:marTop w:val="0"/>
                  <w:marBottom w:val="0"/>
                  <w:divBdr>
                    <w:top w:val="none" w:sz="0" w:space="0" w:color="auto"/>
                    <w:left w:val="none" w:sz="0" w:space="0" w:color="auto"/>
                    <w:bottom w:val="none" w:sz="0" w:space="0" w:color="auto"/>
                    <w:right w:val="none" w:sz="0" w:space="0" w:color="auto"/>
                  </w:divBdr>
                </w:div>
              </w:divsChild>
            </w:div>
            <w:div w:id="613174127">
              <w:marLeft w:val="0"/>
              <w:marRight w:val="0"/>
              <w:marTop w:val="0"/>
              <w:marBottom w:val="0"/>
              <w:divBdr>
                <w:top w:val="none" w:sz="0" w:space="0" w:color="auto"/>
                <w:left w:val="none" w:sz="0" w:space="0" w:color="auto"/>
                <w:bottom w:val="none" w:sz="0" w:space="0" w:color="auto"/>
                <w:right w:val="none" w:sz="0" w:space="0" w:color="auto"/>
              </w:divBdr>
              <w:divsChild>
                <w:div w:id="1333609711">
                  <w:marLeft w:val="0"/>
                  <w:marRight w:val="0"/>
                  <w:marTop w:val="0"/>
                  <w:marBottom w:val="0"/>
                  <w:divBdr>
                    <w:top w:val="none" w:sz="0" w:space="0" w:color="auto"/>
                    <w:left w:val="none" w:sz="0" w:space="0" w:color="auto"/>
                    <w:bottom w:val="none" w:sz="0" w:space="0" w:color="auto"/>
                    <w:right w:val="none" w:sz="0" w:space="0" w:color="auto"/>
                  </w:divBdr>
                </w:div>
              </w:divsChild>
            </w:div>
            <w:div w:id="1077897048">
              <w:marLeft w:val="0"/>
              <w:marRight w:val="0"/>
              <w:marTop w:val="0"/>
              <w:marBottom w:val="0"/>
              <w:divBdr>
                <w:top w:val="none" w:sz="0" w:space="0" w:color="auto"/>
                <w:left w:val="none" w:sz="0" w:space="0" w:color="auto"/>
                <w:bottom w:val="none" w:sz="0" w:space="0" w:color="auto"/>
                <w:right w:val="none" w:sz="0" w:space="0" w:color="auto"/>
              </w:divBdr>
              <w:divsChild>
                <w:div w:id="60949556">
                  <w:marLeft w:val="0"/>
                  <w:marRight w:val="0"/>
                  <w:marTop w:val="0"/>
                  <w:marBottom w:val="0"/>
                  <w:divBdr>
                    <w:top w:val="none" w:sz="0" w:space="0" w:color="auto"/>
                    <w:left w:val="none" w:sz="0" w:space="0" w:color="auto"/>
                    <w:bottom w:val="none" w:sz="0" w:space="0" w:color="auto"/>
                    <w:right w:val="none" w:sz="0" w:space="0" w:color="auto"/>
                  </w:divBdr>
                </w:div>
              </w:divsChild>
            </w:div>
            <w:div w:id="1415321581">
              <w:marLeft w:val="0"/>
              <w:marRight w:val="0"/>
              <w:marTop w:val="0"/>
              <w:marBottom w:val="0"/>
              <w:divBdr>
                <w:top w:val="none" w:sz="0" w:space="0" w:color="auto"/>
                <w:left w:val="none" w:sz="0" w:space="0" w:color="auto"/>
                <w:bottom w:val="none" w:sz="0" w:space="0" w:color="auto"/>
                <w:right w:val="none" w:sz="0" w:space="0" w:color="auto"/>
              </w:divBdr>
              <w:divsChild>
                <w:div w:id="81102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104043">
      <w:bodyDiv w:val="1"/>
      <w:marLeft w:val="0"/>
      <w:marRight w:val="0"/>
      <w:marTop w:val="0"/>
      <w:marBottom w:val="0"/>
      <w:divBdr>
        <w:top w:val="none" w:sz="0" w:space="0" w:color="auto"/>
        <w:left w:val="none" w:sz="0" w:space="0" w:color="auto"/>
        <w:bottom w:val="none" w:sz="0" w:space="0" w:color="auto"/>
        <w:right w:val="none" w:sz="0" w:space="0" w:color="auto"/>
      </w:divBdr>
      <w:divsChild>
        <w:div w:id="400954754">
          <w:marLeft w:val="0"/>
          <w:marRight w:val="0"/>
          <w:marTop w:val="0"/>
          <w:marBottom w:val="0"/>
          <w:divBdr>
            <w:top w:val="none" w:sz="0" w:space="0" w:color="auto"/>
            <w:left w:val="none" w:sz="0" w:space="0" w:color="auto"/>
            <w:bottom w:val="none" w:sz="0" w:space="0" w:color="auto"/>
            <w:right w:val="none" w:sz="0" w:space="0" w:color="auto"/>
          </w:divBdr>
          <w:divsChild>
            <w:div w:id="1303344050">
              <w:marLeft w:val="0"/>
              <w:marRight w:val="0"/>
              <w:marTop w:val="0"/>
              <w:marBottom w:val="0"/>
              <w:divBdr>
                <w:top w:val="none" w:sz="0" w:space="0" w:color="auto"/>
                <w:left w:val="none" w:sz="0" w:space="0" w:color="auto"/>
                <w:bottom w:val="none" w:sz="0" w:space="0" w:color="auto"/>
                <w:right w:val="none" w:sz="0" w:space="0" w:color="auto"/>
              </w:divBdr>
              <w:divsChild>
                <w:div w:id="1797261915">
                  <w:marLeft w:val="0"/>
                  <w:marRight w:val="0"/>
                  <w:marTop w:val="0"/>
                  <w:marBottom w:val="0"/>
                  <w:divBdr>
                    <w:top w:val="none" w:sz="0" w:space="0" w:color="auto"/>
                    <w:left w:val="none" w:sz="0" w:space="0" w:color="auto"/>
                    <w:bottom w:val="none" w:sz="0" w:space="0" w:color="auto"/>
                    <w:right w:val="none" w:sz="0" w:space="0" w:color="auto"/>
                  </w:divBdr>
                </w:div>
              </w:divsChild>
            </w:div>
            <w:div w:id="227231005">
              <w:marLeft w:val="0"/>
              <w:marRight w:val="0"/>
              <w:marTop w:val="0"/>
              <w:marBottom w:val="0"/>
              <w:divBdr>
                <w:top w:val="none" w:sz="0" w:space="0" w:color="auto"/>
                <w:left w:val="none" w:sz="0" w:space="0" w:color="auto"/>
                <w:bottom w:val="none" w:sz="0" w:space="0" w:color="auto"/>
                <w:right w:val="none" w:sz="0" w:space="0" w:color="auto"/>
              </w:divBdr>
              <w:divsChild>
                <w:div w:id="19538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75811">
          <w:marLeft w:val="0"/>
          <w:marRight w:val="0"/>
          <w:marTop w:val="0"/>
          <w:marBottom w:val="0"/>
          <w:divBdr>
            <w:top w:val="none" w:sz="0" w:space="0" w:color="auto"/>
            <w:left w:val="none" w:sz="0" w:space="0" w:color="auto"/>
            <w:bottom w:val="none" w:sz="0" w:space="0" w:color="auto"/>
            <w:right w:val="none" w:sz="0" w:space="0" w:color="auto"/>
          </w:divBdr>
          <w:divsChild>
            <w:div w:id="684014279">
              <w:marLeft w:val="0"/>
              <w:marRight w:val="0"/>
              <w:marTop w:val="0"/>
              <w:marBottom w:val="0"/>
              <w:divBdr>
                <w:top w:val="none" w:sz="0" w:space="0" w:color="auto"/>
                <w:left w:val="none" w:sz="0" w:space="0" w:color="auto"/>
                <w:bottom w:val="none" w:sz="0" w:space="0" w:color="auto"/>
                <w:right w:val="none" w:sz="0" w:space="0" w:color="auto"/>
              </w:divBdr>
            </w:div>
            <w:div w:id="998077815">
              <w:marLeft w:val="0"/>
              <w:marRight w:val="0"/>
              <w:marTop w:val="0"/>
              <w:marBottom w:val="0"/>
              <w:divBdr>
                <w:top w:val="none" w:sz="0" w:space="0" w:color="auto"/>
                <w:left w:val="none" w:sz="0" w:space="0" w:color="auto"/>
                <w:bottom w:val="none" w:sz="0" w:space="0" w:color="auto"/>
                <w:right w:val="none" w:sz="0" w:space="0" w:color="auto"/>
              </w:divBdr>
              <w:divsChild>
                <w:div w:id="204457">
                  <w:marLeft w:val="0"/>
                  <w:marRight w:val="0"/>
                  <w:marTop w:val="0"/>
                  <w:marBottom w:val="0"/>
                  <w:divBdr>
                    <w:top w:val="none" w:sz="0" w:space="0" w:color="auto"/>
                    <w:left w:val="none" w:sz="0" w:space="0" w:color="auto"/>
                    <w:bottom w:val="none" w:sz="0" w:space="0" w:color="auto"/>
                    <w:right w:val="none" w:sz="0" w:space="0" w:color="auto"/>
                  </w:divBdr>
                </w:div>
              </w:divsChild>
            </w:div>
            <w:div w:id="1822578871">
              <w:marLeft w:val="0"/>
              <w:marRight w:val="0"/>
              <w:marTop w:val="0"/>
              <w:marBottom w:val="0"/>
              <w:divBdr>
                <w:top w:val="none" w:sz="0" w:space="0" w:color="auto"/>
                <w:left w:val="none" w:sz="0" w:space="0" w:color="auto"/>
                <w:bottom w:val="none" w:sz="0" w:space="0" w:color="auto"/>
                <w:right w:val="none" w:sz="0" w:space="0" w:color="auto"/>
              </w:divBdr>
              <w:divsChild>
                <w:div w:id="2071804071">
                  <w:marLeft w:val="0"/>
                  <w:marRight w:val="0"/>
                  <w:marTop w:val="0"/>
                  <w:marBottom w:val="0"/>
                  <w:divBdr>
                    <w:top w:val="none" w:sz="0" w:space="0" w:color="auto"/>
                    <w:left w:val="none" w:sz="0" w:space="0" w:color="auto"/>
                    <w:bottom w:val="none" w:sz="0" w:space="0" w:color="auto"/>
                    <w:right w:val="none" w:sz="0" w:space="0" w:color="auto"/>
                  </w:divBdr>
                </w:div>
              </w:divsChild>
            </w:div>
            <w:div w:id="495151199">
              <w:marLeft w:val="0"/>
              <w:marRight w:val="0"/>
              <w:marTop w:val="0"/>
              <w:marBottom w:val="0"/>
              <w:divBdr>
                <w:top w:val="none" w:sz="0" w:space="0" w:color="auto"/>
                <w:left w:val="none" w:sz="0" w:space="0" w:color="auto"/>
                <w:bottom w:val="none" w:sz="0" w:space="0" w:color="auto"/>
                <w:right w:val="none" w:sz="0" w:space="0" w:color="auto"/>
              </w:divBdr>
              <w:divsChild>
                <w:div w:id="25063292">
                  <w:marLeft w:val="0"/>
                  <w:marRight w:val="0"/>
                  <w:marTop w:val="0"/>
                  <w:marBottom w:val="0"/>
                  <w:divBdr>
                    <w:top w:val="none" w:sz="0" w:space="0" w:color="auto"/>
                    <w:left w:val="none" w:sz="0" w:space="0" w:color="auto"/>
                    <w:bottom w:val="none" w:sz="0" w:space="0" w:color="auto"/>
                    <w:right w:val="none" w:sz="0" w:space="0" w:color="auto"/>
                  </w:divBdr>
                </w:div>
              </w:divsChild>
            </w:div>
            <w:div w:id="854880777">
              <w:marLeft w:val="0"/>
              <w:marRight w:val="0"/>
              <w:marTop w:val="0"/>
              <w:marBottom w:val="0"/>
              <w:divBdr>
                <w:top w:val="none" w:sz="0" w:space="0" w:color="auto"/>
                <w:left w:val="none" w:sz="0" w:space="0" w:color="auto"/>
                <w:bottom w:val="none" w:sz="0" w:space="0" w:color="auto"/>
                <w:right w:val="none" w:sz="0" w:space="0" w:color="auto"/>
              </w:divBdr>
              <w:divsChild>
                <w:div w:id="174371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alloz-actualite.fr/auteur/corinne-blery-et-erick-tamion" TargetMode="External"/><Relationship Id="rId18" Type="http://schemas.openxmlformats.org/officeDocument/2006/relationships/hyperlink" Target="http://www.dalloz.fr/lien?famille=revues&amp;dochype=DS/CHRON/2008/0046" TargetMode="External"/><Relationship Id="rId26" Type="http://schemas.openxmlformats.org/officeDocument/2006/relationships/hyperlink" Target="https://www.dalloz-actualite.fr/auteur/corinne-blery" TargetMode="External"/><Relationship Id="rId39" Type="http://schemas.openxmlformats.org/officeDocument/2006/relationships/hyperlink" Target="https://www.dalloz-actualite.fr/dossier/amelioration-et-simplification-de-procedure-civile-du-bon-et-du-moins-bon" TargetMode="External"/><Relationship Id="rId21" Type="http://schemas.openxmlformats.org/officeDocument/2006/relationships/hyperlink" Target="https://www.dalloz-actualite.fr/actualites/civil" TargetMode="External"/><Relationship Id="rId34" Type="http://schemas.openxmlformats.org/officeDocument/2006/relationships/hyperlink" Target="https://www.legifrance.gouv.fr/jo_pdf.do?id=JORFTEXT000037538405" TargetMode="External"/><Relationship Id="rId42" Type="http://schemas.openxmlformats.org/officeDocument/2006/relationships/hyperlink" Target="https://www.dalloz-actualite.fr/flash/procedure-orale-et-mise-en-etat-ecrite-date-d-effet-des-ecrits-des-parties" TargetMode="External"/><Relationship Id="rId47" Type="http://schemas.openxmlformats.org/officeDocument/2006/relationships/hyperlink" Target="https://www.dalloz-actualite.fr/flash/justice-du-xxie-siecle-refonte-du-regime-de-recusation-et-du-renvoi-pour-cause-de-suspicion-le" TargetMode="External"/><Relationship Id="rId50" Type="http://schemas.openxmlformats.org/officeDocument/2006/relationships/hyperlink" Target="https://www.dalloz-actualite.fr/flash/justice-du-21e-siecle-reforme-de-procedure-orale-et-retouche-des-pouvoirs-du-juge-des-referes-" TargetMode="External"/><Relationship Id="rId55" Type="http://schemas.openxmlformats.org/officeDocument/2006/relationships/hyperlink" Target="https://www.dalloz-actualite.fr/flash/justice-du-21e-siecle-regime-des-listes-d-experts-modifi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www.dalloz-actualite.fr/actualites/avocat" TargetMode="External"/><Relationship Id="rId29" Type="http://schemas.openxmlformats.org/officeDocument/2006/relationships/hyperlink" Target="https://www.dalloz-actualite.fr/flash/cours-d-appel-chancellerie-maintient-ses-futurs-poles-de-competence-sociale" TargetMode="External"/><Relationship Id="rId41" Type="http://schemas.openxmlformats.org/officeDocument/2006/relationships/hyperlink" Target="https://www.dalloz-actualite.fr/dossier/decret-j21-dispositions-de-procedure-civile" TargetMode="External"/><Relationship Id="rId54" Type="http://schemas.openxmlformats.org/officeDocument/2006/relationships/hyperlink" Target="https://www.dalloz-actualite.fr/flash/justice-du-21e-siecle-procedures-tgi-et-ti-retouchees"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alloz-actualite.fr/actualites/social" TargetMode="External"/><Relationship Id="rId24" Type="http://schemas.openxmlformats.org/officeDocument/2006/relationships/hyperlink" Target="https://www.dalloz-actualite.fr/actualites/social/droit-de-securite-sociale" TargetMode="External"/><Relationship Id="rId32" Type="http://schemas.openxmlformats.org/officeDocument/2006/relationships/hyperlink" Target="https://www.dalloz-actualite.fr/actualites/social/controle-et-contentieux" TargetMode="External"/><Relationship Id="rId37" Type="http://schemas.openxmlformats.org/officeDocument/2006/relationships/hyperlink" Target="http://www.dalloz.fr/lien?famille=revues&amp;dochype=RECUEIL/OBS/2008/0543" TargetMode="External"/><Relationship Id="rId40" Type="http://schemas.openxmlformats.org/officeDocument/2006/relationships/image" Target="media/image3.png"/><Relationship Id="rId45" Type="http://schemas.openxmlformats.org/officeDocument/2006/relationships/hyperlink" Target="http://www.dalloz.fr/lien?famille=revues&amp;dochype=RECUEIL/CHRON/2017/0994" TargetMode="External"/><Relationship Id="rId53" Type="http://schemas.openxmlformats.org/officeDocument/2006/relationships/hyperlink" Target="https://www.dalloz-actualite.fr/flash/justice-du-21e-siecle-modification-du-regime-des-modes-amiables-de-resolution-des-differends" TargetMode="External"/><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dalloz.fr/lien?famille=revues&amp;dochype=RECUEIL/AJ/2007/1770" TargetMode="External"/><Relationship Id="rId23" Type="http://schemas.openxmlformats.org/officeDocument/2006/relationships/hyperlink" Target="https://www.dalloz-actualite.fr/actualites/social" TargetMode="External"/><Relationship Id="rId28" Type="http://schemas.openxmlformats.org/officeDocument/2006/relationships/image" Target="media/image2.png"/><Relationship Id="rId36" Type="http://schemas.openxmlformats.org/officeDocument/2006/relationships/hyperlink" Target="http://www.dalloz.fr/lien?famille=revues&amp;dochype=RECUEIL/AJ/2008/0591" TargetMode="External"/><Relationship Id="rId49" Type="http://schemas.openxmlformats.org/officeDocument/2006/relationships/hyperlink" Target="https://www.dalloz-actualite.fr/flash/justice-du-21e-siecle-modification-du-regime-de-reconnaissance-transfrontaliere"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s://www.dalloz-actualite.fr/actualites/civil/procedure-civile" TargetMode="External"/><Relationship Id="rId19" Type="http://schemas.openxmlformats.org/officeDocument/2006/relationships/hyperlink" Target="http://www.justice.gouv.fr/art_pix/1_rapport_contentieux_secu_soc_2015_126r.pdf" TargetMode="External"/><Relationship Id="rId31" Type="http://schemas.openxmlformats.org/officeDocument/2006/relationships/hyperlink" Target="https://www.dalloz-actualite.fr/actualites/social" TargetMode="External"/><Relationship Id="rId44" Type="http://schemas.openxmlformats.org/officeDocument/2006/relationships/hyperlink" Target="http://www.dalloz.fr/lien?famille=revues&amp;dochype=RECUEIL/CHRON/2017/0916" TargetMode="External"/><Relationship Id="rId52" Type="http://schemas.openxmlformats.org/officeDocument/2006/relationships/hyperlink" Target="https://www.dalloz-actualite.fr/flash/justice-du-21e-siecle-reforme-du-regime-des-commissions-rogatoires-internationales"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dalloz-actualite.fr/actualites/civil" TargetMode="External"/><Relationship Id="rId14" Type="http://schemas.openxmlformats.org/officeDocument/2006/relationships/hyperlink" Target="https://www.dalloz-actualite.fr/document/ord-n-2018-358-16-mai-2018-jo-17-mai-0" TargetMode="External"/><Relationship Id="rId22" Type="http://schemas.openxmlformats.org/officeDocument/2006/relationships/hyperlink" Target="https://www.dalloz-actualite.fr/actualites/civil/procedure-civile" TargetMode="External"/><Relationship Id="rId27" Type="http://schemas.openxmlformats.org/officeDocument/2006/relationships/hyperlink" Target="https://www.dalloz-actualite.fr/document/decr-n-2018-772-4-sept-2018-jo-6-sept" TargetMode="External"/><Relationship Id="rId30" Type="http://schemas.openxmlformats.org/officeDocument/2006/relationships/hyperlink" Target="https://www.cnb.avocat.fr/fr/actualites/assemblee-generale-6-et-7-juillet-2018" TargetMode="External"/><Relationship Id="rId35" Type="http://schemas.openxmlformats.org/officeDocument/2006/relationships/hyperlink" Target="https://www.dalloz-actualite.fr/auteur/corinne-blery-et-erick-tamion" TargetMode="External"/><Relationship Id="rId43" Type="http://schemas.openxmlformats.org/officeDocument/2006/relationships/hyperlink" Target="http://www.dalloz.fr/lien?famille=revues&amp;dochype=RECUEIL/JURIS/2017/0804" TargetMode="External"/><Relationship Id="rId48" Type="http://schemas.openxmlformats.org/officeDocument/2006/relationships/hyperlink" Target="https://www.dalloz-actualite.fr/flash/justice-du-xxie-siecle-peremption-d-instance-constatee-d-office" TargetMode="External"/><Relationship Id="rId56" Type="http://schemas.openxmlformats.org/officeDocument/2006/relationships/hyperlink" Target="https://www.dalloz-actualite.fr/flash/rpva-pourquoi-pas-droit-alors-qu-il-y-tuyaux" TargetMode="External"/><Relationship Id="rId64" Type="http://schemas.openxmlformats.org/officeDocument/2006/relationships/theme" Target="theme/theme1.xml"/><Relationship Id="rId8" Type="http://schemas.openxmlformats.org/officeDocument/2006/relationships/hyperlink" Target="https://www.dalloz-actualite.fr/flash/reorganisation-du-contentieux-de-securite-sociale-et-de-l-action-sociale" TargetMode="External"/><Relationship Id="rId51" Type="http://schemas.openxmlformats.org/officeDocument/2006/relationships/hyperlink" Target="https://www.dalloz-actualite.fr/flash/justice-du-21e-siecle-simplification-du-regime-des-notifications-internationales" TargetMode="External"/><Relationship Id="rId3" Type="http://schemas.openxmlformats.org/officeDocument/2006/relationships/styles" Target="styles.xml"/><Relationship Id="rId12" Type="http://schemas.openxmlformats.org/officeDocument/2006/relationships/hyperlink" Target="https://www.dalloz-actualite.fr/actualites/social/controle-et-contentieux" TargetMode="External"/><Relationship Id="rId17" Type="http://schemas.openxmlformats.org/officeDocument/2006/relationships/hyperlink" Target="http://www.dalloz.fr/lien?famille=revues&amp;dochype=RECUEIL/OBS/2008/0057" TargetMode="External"/><Relationship Id="rId25" Type="http://schemas.openxmlformats.org/officeDocument/2006/relationships/hyperlink" Target="https://www.dalloz-actualite.fr/flash/reforme-du-contentieux-de-securite-sociale-et-de-l-action-sociale-decret-competence" TargetMode="External"/><Relationship Id="rId33" Type="http://schemas.openxmlformats.org/officeDocument/2006/relationships/hyperlink" Target="https://www.dalloz-actualite.fr/dossier/reforme-du-contentieux-de-securite-sociale-et-de-l-action-sociale" TargetMode="External"/><Relationship Id="rId38" Type="http://schemas.openxmlformats.org/officeDocument/2006/relationships/hyperlink" Target="https://www.dalloz-actualite.fr/chronique/chantier-de-justice-reforme-de-procedure-civile-en-35-questions" TargetMode="External"/><Relationship Id="rId46" Type="http://schemas.openxmlformats.org/officeDocument/2006/relationships/hyperlink" Target="http://www.dalloz.fr/lien?famille=revues&amp;dochype=RECUEIL/CHRON/2018/1312" TargetMode="External"/><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p\OneDrive\Documents\Mod&#232;les%20Office%20personnalis&#233;s\modele_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8E8B8-FE28-4920-B4B7-E0B6E0AF0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modele_4</Template>
  <TotalTime>0</TotalTime>
  <Pages>20</Pages>
  <Words>14426</Words>
  <Characters>79349</Characters>
  <Application>Microsoft Office Word</Application>
  <DocSecurity>0</DocSecurity>
  <Lines>661</Lines>
  <Paragraphs>187</Paragraphs>
  <ScaleCrop>false</ScaleCrop>
  <HeadingPairs>
    <vt:vector size="2" baseType="variant">
      <vt:variant>
        <vt:lpstr>Titre</vt:lpstr>
      </vt:variant>
      <vt:variant>
        <vt:i4>1</vt:i4>
      </vt:variant>
    </vt:vector>
  </HeadingPairs>
  <TitlesOfParts>
    <vt:vector size="1" baseType="lpstr">
      <vt:lpstr>conclusions</vt:lpstr>
    </vt:vector>
  </TitlesOfParts>
  <Company>Hewlett-Packard Company</Company>
  <LinksUpToDate>false</LinksUpToDate>
  <CharactersWithSpaces>93588</CharactersWithSpaces>
  <SharedDoc>false</SharedDoc>
  <HLinks>
    <vt:vector size="78" baseType="variant">
      <vt:variant>
        <vt:i4>2097184</vt:i4>
      </vt:variant>
      <vt:variant>
        <vt:i4>75</vt:i4>
      </vt:variant>
      <vt:variant>
        <vt:i4>0</vt:i4>
      </vt:variant>
      <vt:variant>
        <vt:i4>5</vt:i4>
      </vt:variant>
      <vt:variant>
        <vt:lpwstr>http://droit-finances.commentcamarche.net/legifrance/66-code-de-la-securite-sociale/242256/article-r721-29</vt:lpwstr>
      </vt:variant>
      <vt:variant>
        <vt:lpwstr/>
      </vt:variant>
      <vt:variant>
        <vt:i4>1966128</vt:i4>
      </vt:variant>
      <vt:variant>
        <vt:i4>68</vt:i4>
      </vt:variant>
      <vt:variant>
        <vt:i4>0</vt:i4>
      </vt:variant>
      <vt:variant>
        <vt:i4>5</vt:i4>
      </vt:variant>
      <vt:variant>
        <vt:lpwstr/>
      </vt:variant>
      <vt:variant>
        <vt:lpwstr>_Toc383693942</vt:lpwstr>
      </vt:variant>
      <vt:variant>
        <vt:i4>1966128</vt:i4>
      </vt:variant>
      <vt:variant>
        <vt:i4>62</vt:i4>
      </vt:variant>
      <vt:variant>
        <vt:i4>0</vt:i4>
      </vt:variant>
      <vt:variant>
        <vt:i4>5</vt:i4>
      </vt:variant>
      <vt:variant>
        <vt:lpwstr/>
      </vt:variant>
      <vt:variant>
        <vt:lpwstr>_Toc383693941</vt:lpwstr>
      </vt:variant>
      <vt:variant>
        <vt:i4>1966128</vt:i4>
      </vt:variant>
      <vt:variant>
        <vt:i4>56</vt:i4>
      </vt:variant>
      <vt:variant>
        <vt:i4>0</vt:i4>
      </vt:variant>
      <vt:variant>
        <vt:i4>5</vt:i4>
      </vt:variant>
      <vt:variant>
        <vt:lpwstr/>
      </vt:variant>
      <vt:variant>
        <vt:lpwstr>_Toc383693940</vt:lpwstr>
      </vt:variant>
      <vt:variant>
        <vt:i4>1638448</vt:i4>
      </vt:variant>
      <vt:variant>
        <vt:i4>50</vt:i4>
      </vt:variant>
      <vt:variant>
        <vt:i4>0</vt:i4>
      </vt:variant>
      <vt:variant>
        <vt:i4>5</vt:i4>
      </vt:variant>
      <vt:variant>
        <vt:lpwstr/>
      </vt:variant>
      <vt:variant>
        <vt:lpwstr>_Toc383693939</vt:lpwstr>
      </vt:variant>
      <vt:variant>
        <vt:i4>1638448</vt:i4>
      </vt:variant>
      <vt:variant>
        <vt:i4>44</vt:i4>
      </vt:variant>
      <vt:variant>
        <vt:i4>0</vt:i4>
      </vt:variant>
      <vt:variant>
        <vt:i4>5</vt:i4>
      </vt:variant>
      <vt:variant>
        <vt:lpwstr/>
      </vt:variant>
      <vt:variant>
        <vt:lpwstr>_Toc383693938</vt:lpwstr>
      </vt:variant>
      <vt:variant>
        <vt:i4>1638448</vt:i4>
      </vt:variant>
      <vt:variant>
        <vt:i4>38</vt:i4>
      </vt:variant>
      <vt:variant>
        <vt:i4>0</vt:i4>
      </vt:variant>
      <vt:variant>
        <vt:i4>5</vt:i4>
      </vt:variant>
      <vt:variant>
        <vt:lpwstr/>
      </vt:variant>
      <vt:variant>
        <vt:lpwstr>_Toc383693937</vt:lpwstr>
      </vt:variant>
      <vt:variant>
        <vt:i4>1638448</vt:i4>
      </vt:variant>
      <vt:variant>
        <vt:i4>32</vt:i4>
      </vt:variant>
      <vt:variant>
        <vt:i4>0</vt:i4>
      </vt:variant>
      <vt:variant>
        <vt:i4>5</vt:i4>
      </vt:variant>
      <vt:variant>
        <vt:lpwstr/>
      </vt:variant>
      <vt:variant>
        <vt:lpwstr>_Toc383693936</vt:lpwstr>
      </vt:variant>
      <vt:variant>
        <vt:i4>1638448</vt:i4>
      </vt:variant>
      <vt:variant>
        <vt:i4>26</vt:i4>
      </vt:variant>
      <vt:variant>
        <vt:i4>0</vt:i4>
      </vt:variant>
      <vt:variant>
        <vt:i4>5</vt:i4>
      </vt:variant>
      <vt:variant>
        <vt:lpwstr/>
      </vt:variant>
      <vt:variant>
        <vt:lpwstr>_Toc383693935</vt:lpwstr>
      </vt:variant>
      <vt:variant>
        <vt:i4>1638448</vt:i4>
      </vt:variant>
      <vt:variant>
        <vt:i4>20</vt:i4>
      </vt:variant>
      <vt:variant>
        <vt:i4>0</vt:i4>
      </vt:variant>
      <vt:variant>
        <vt:i4>5</vt:i4>
      </vt:variant>
      <vt:variant>
        <vt:lpwstr/>
      </vt:variant>
      <vt:variant>
        <vt:lpwstr>_Toc383693934</vt:lpwstr>
      </vt:variant>
      <vt:variant>
        <vt:i4>1638448</vt:i4>
      </vt:variant>
      <vt:variant>
        <vt:i4>14</vt:i4>
      </vt:variant>
      <vt:variant>
        <vt:i4>0</vt:i4>
      </vt:variant>
      <vt:variant>
        <vt:i4>5</vt:i4>
      </vt:variant>
      <vt:variant>
        <vt:lpwstr/>
      </vt:variant>
      <vt:variant>
        <vt:lpwstr>_Toc383693933</vt:lpwstr>
      </vt:variant>
      <vt:variant>
        <vt:i4>1638448</vt:i4>
      </vt:variant>
      <vt:variant>
        <vt:i4>8</vt:i4>
      </vt:variant>
      <vt:variant>
        <vt:i4>0</vt:i4>
      </vt:variant>
      <vt:variant>
        <vt:i4>5</vt:i4>
      </vt:variant>
      <vt:variant>
        <vt:lpwstr/>
      </vt:variant>
      <vt:variant>
        <vt:lpwstr>_Toc383693932</vt:lpwstr>
      </vt:variant>
      <vt:variant>
        <vt:i4>1638448</vt:i4>
      </vt:variant>
      <vt:variant>
        <vt:i4>2</vt:i4>
      </vt:variant>
      <vt:variant>
        <vt:i4>0</vt:i4>
      </vt:variant>
      <vt:variant>
        <vt:i4>5</vt:i4>
      </vt:variant>
      <vt:variant>
        <vt:lpwstr/>
      </vt:variant>
      <vt:variant>
        <vt:lpwstr>_Toc383693931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conclusions</dc:title>
  <dc:subject>presentation generale</dc:subject>
  <dc:creator>Joseph AUVINET</dc:creator>
  <cp:lastModifiedBy>Joseph AUVINET</cp:lastModifiedBy>
  <cp:revision>1</cp:revision>
  <cp:lastPrinted>2018-11-09T13:44:00Z</cp:lastPrinted>
  <dcterms:created xsi:type="dcterms:W3CDTF">2018-11-09T13:43:00Z</dcterms:created>
  <dcterms:modified xsi:type="dcterms:W3CDTF">2018-11-09T14:10:00Z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