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B9EA8" w14:textId="6DB0A8CF" w:rsidR="00A11935" w:rsidRDefault="00A11935" w:rsidP="00A11935">
      <w:r>
        <w:rPr>
          <w:noProof/>
        </w:rPr>
        <w:drawing>
          <wp:inline distT="0" distB="0" distL="0" distR="0" wp14:anchorId="2D48F354" wp14:editId="06643CA9">
            <wp:extent cx="5760720" cy="611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611505"/>
                    </a:xfrm>
                    <a:prstGeom prst="rect">
                      <a:avLst/>
                    </a:prstGeom>
                  </pic:spPr>
                </pic:pic>
              </a:graphicData>
            </a:graphic>
          </wp:inline>
        </w:drawing>
      </w:r>
    </w:p>
    <w:p w14:paraId="74724288" w14:textId="77777777" w:rsidR="00A11935" w:rsidRDefault="00A11935" w:rsidP="00A11935">
      <w:r>
        <w:t xml:space="preserve">Provenance : </w:t>
      </w:r>
      <w:hyperlink r:id="rId5" w:history="1">
        <w:r>
          <w:rPr>
            <w:rStyle w:val="Lienhypertexte"/>
          </w:rPr>
          <w:t>Courrier</w:t>
        </w:r>
      </w:hyperlink>
      <w:r>
        <w:t xml:space="preserve"> pour Windows 10</w:t>
      </w:r>
    </w:p>
    <w:p w14:paraId="5E6F61C0" w14:textId="77777777" w:rsidR="00A11935" w:rsidRDefault="00A11935" w:rsidP="00A11935"/>
    <w:p w14:paraId="7205F6D0" w14:textId="77777777" w:rsidR="00A11935" w:rsidRDefault="00A11935" w:rsidP="00A11935">
      <w:pPr>
        <w:outlineLvl w:val="0"/>
      </w:pPr>
      <w:r>
        <w:rPr>
          <w:b/>
          <w:bCs/>
        </w:rPr>
        <w:t xml:space="preserve">De : </w:t>
      </w:r>
      <w:hyperlink r:id="rId6" w:history="1">
        <w:r>
          <w:rPr>
            <w:rStyle w:val="Lienhypertexte"/>
          </w:rPr>
          <w:t>SCP Gatineau Fattaccini</w:t>
        </w:r>
      </w:hyperlink>
      <w:r>
        <w:br/>
      </w:r>
      <w:r>
        <w:rPr>
          <w:b/>
          <w:bCs/>
        </w:rPr>
        <w:t>Envoyé le :</w:t>
      </w:r>
      <w:r>
        <w:t>mercredi 21 novembre 2018 11:17</w:t>
      </w:r>
      <w:r>
        <w:br/>
      </w:r>
      <w:r>
        <w:rPr>
          <w:b/>
          <w:bCs/>
        </w:rPr>
        <w:t xml:space="preserve">À : </w:t>
      </w:r>
      <w:hyperlink r:id="rId7" w:history="1">
        <w:r>
          <w:rPr>
            <w:rStyle w:val="Lienhypertexte"/>
          </w:rPr>
          <w:t>alaingauthier1617@neuf.fr</w:t>
        </w:r>
      </w:hyperlink>
      <w:r>
        <w:br/>
      </w:r>
      <w:r>
        <w:rPr>
          <w:b/>
          <w:bCs/>
        </w:rPr>
        <w:t>Objet :</w:t>
      </w:r>
      <w:r>
        <w:t>Pourvoi civil n° B1819991 Aff : DESCOMBAS Franck</w:t>
      </w:r>
    </w:p>
    <w:p w14:paraId="69DA7143" w14:textId="77777777" w:rsidR="00A11935" w:rsidRDefault="00A11935" w:rsidP="00A11935"/>
    <w:p w14:paraId="7C380029" w14:textId="77777777" w:rsidR="00A11935" w:rsidRDefault="00A11935" w:rsidP="00A11935">
      <w:pPr>
        <w:jc w:val="both"/>
        <w:rPr>
          <w:lang w:eastAsia="en-US"/>
        </w:rPr>
      </w:pPr>
      <w:r>
        <w:rPr>
          <w:b/>
          <w:bCs/>
          <w:lang w:eastAsia="en-US"/>
        </w:rPr>
        <w:t>Paris, le</w:t>
      </w:r>
      <w:r>
        <w:rPr>
          <w:lang w:eastAsia="en-US"/>
        </w:rPr>
        <w:t xml:space="preserve"> 20 novembre 2018</w:t>
      </w:r>
    </w:p>
    <w:p w14:paraId="0B6B2985" w14:textId="77777777" w:rsidR="00A11935" w:rsidRDefault="00A11935" w:rsidP="00A11935">
      <w:pPr>
        <w:jc w:val="both"/>
        <w:rPr>
          <w:lang w:eastAsia="en-US"/>
        </w:rPr>
      </w:pPr>
    </w:p>
    <w:p w14:paraId="29249A46" w14:textId="77777777" w:rsidR="00A11935" w:rsidRDefault="00A11935" w:rsidP="00A11935">
      <w:pPr>
        <w:ind w:left="4962" w:hanging="427"/>
        <w:jc w:val="both"/>
        <w:rPr>
          <w:b/>
          <w:bCs/>
          <w:lang w:eastAsia="en-US"/>
        </w:rPr>
      </w:pPr>
      <w:r>
        <w:rPr>
          <w:b/>
          <w:bCs/>
          <w:lang w:eastAsia="en-US"/>
        </w:rPr>
        <w:t>Aff :</w:t>
      </w:r>
      <w:r>
        <w:rPr>
          <w:lang w:eastAsia="en-US"/>
        </w:rPr>
        <w:t xml:space="preserve"> DESCOMBAS Franck</w:t>
      </w:r>
    </w:p>
    <w:p w14:paraId="7C3F49CA" w14:textId="77777777" w:rsidR="00A11935" w:rsidRDefault="00A11935" w:rsidP="00A11935">
      <w:pPr>
        <w:jc w:val="both"/>
        <w:rPr>
          <w:lang w:eastAsia="en-US"/>
        </w:rPr>
      </w:pPr>
      <w:r>
        <w:rPr>
          <w:b/>
          <w:bCs/>
          <w:lang w:eastAsia="en-US"/>
        </w:rPr>
        <w:t>                                                                                                     c/</w:t>
      </w:r>
      <w:r>
        <w:rPr>
          <w:lang w:eastAsia="en-US"/>
        </w:rPr>
        <w:t> : CAVIMAC</w:t>
      </w:r>
    </w:p>
    <w:p w14:paraId="2404EA5C" w14:textId="77777777" w:rsidR="00A11935" w:rsidRDefault="00A11935" w:rsidP="00A11935">
      <w:pPr>
        <w:jc w:val="both"/>
        <w:rPr>
          <w:lang w:eastAsia="en-US"/>
        </w:rPr>
      </w:pPr>
      <w:r>
        <w:rPr>
          <w:b/>
          <w:bCs/>
          <w:lang w:eastAsia="en-US"/>
        </w:rPr>
        <w:t>                                                                                                     N/Réf :</w:t>
      </w:r>
      <w:r>
        <w:rPr>
          <w:lang w:eastAsia="en-US"/>
        </w:rPr>
        <w:t xml:space="preserve"> Pourvoi civil n° B1819991</w:t>
      </w:r>
    </w:p>
    <w:p w14:paraId="6B9FA33C" w14:textId="77777777" w:rsidR="00A11935" w:rsidRDefault="00A11935" w:rsidP="00A11935">
      <w:pPr>
        <w:jc w:val="both"/>
        <w:rPr>
          <w:b/>
          <w:bCs/>
          <w:lang w:eastAsia="en-US"/>
        </w:rPr>
      </w:pPr>
      <w:r>
        <w:rPr>
          <w:lang w:eastAsia="en-US"/>
        </w:rPr>
        <w:t>                                                                                                     JJG</w:t>
      </w:r>
      <w:r>
        <w:rPr>
          <w:b/>
          <w:bCs/>
          <w:lang w:eastAsia="en-US"/>
        </w:rPr>
        <w:t xml:space="preserve">/mas </w:t>
      </w:r>
      <w:r>
        <w:rPr>
          <w:lang w:eastAsia="en-US"/>
        </w:rPr>
        <w:t>(références à rappeler SVP)</w:t>
      </w:r>
    </w:p>
    <w:p w14:paraId="2DBF9A82" w14:textId="77777777" w:rsidR="00A11935" w:rsidRDefault="00A11935" w:rsidP="00A11935">
      <w:pPr>
        <w:jc w:val="both"/>
        <w:rPr>
          <w:b/>
          <w:bCs/>
          <w:lang w:eastAsia="en-US"/>
        </w:rPr>
      </w:pPr>
      <w:r>
        <w:rPr>
          <w:b/>
          <w:bCs/>
          <w:lang w:eastAsia="en-US"/>
        </w:rPr>
        <w:t>                                                                                                     V/Réf :</w:t>
      </w:r>
      <w:r>
        <w:rPr>
          <w:lang w:eastAsia="en-US"/>
        </w:rPr>
        <w:t xml:space="preserve"> </w:t>
      </w:r>
    </w:p>
    <w:p w14:paraId="2A97384E" w14:textId="77777777" w:rsidR="00A11935" w:rsidRDefault="00A11935" w:rsidP="00A11935">
      <w:pPr>
        <w:jc w:val="both"/>
        <w:rPr>
          <w:lang w:eastAsia="en-US"/>
        </w:rPr>
      </w:pPr>
      <w:r>
        <w:rPr>
          <w:lang w:eastAsia="en-US"/>
        </w:rPr>
        <w:t>Monsieur,</w:t>
      </w:r>
    </w:p>
    <w:p w14:paraId="0657E254" w14:textId="77777777" w:rsidR="00A11935" w:rsidRDefault="00A11935" w:rsidP="00A11935">
      <w:pPr>
        <w:jc w:val="both"/>
        <w:rPr>
          <w:lang w:eastAsia="en-US"/>
        </w:rPr>
      </w:pPr>
    </w:p>
    <w:p w14:paraId="2FF02EFD" w14:textId="77777777" w:rsidR="00A11935" w:rsidRDefault="00A11935" w:rsidP="00A11935">
      <w:pPr>
        <w:jc w:val="both"/>
        <w:rPr>
          <w:lang w:eastAsia="en-US"/>
        </w:rPr>
      </w:pPr>
      <w:r>
        <w:rPr>
          <w:lang w:eastAsia="en-US"/>
        </w:rPr>
        <w:t>Vous trouverez sous ce pli copie du mémoire ampliatif que j’ai établi dans cette affaire.</w:t>
      </w:r>
    </w:p>
    <w:p w14:paraId="63D37E59" w14:textId="77777777" w:rsidR="00A11935" w:rsidRDefault="00A11935" w:rsidP="00A11935">
      <w:pPr>
        <w:jc w:val="both"/>
        <w:rPr>
          <w:lang w:eastAsia="en-US"/>
        </w:rPr>
      </w:pPr>
    </w:p>
    <w:p w14:paraId="4B789F0B" w14:textId="4E77C528" w:rsidR="00A11935" w:rsidRDefault="00A11935" w:rsidP="00A11935">
      <w:pPr>
        <w:jc w:val="both"/>
        <w:rPr>
          <w:lang w:eastAsia="en-US"/>
        </w:rPr>
      </w:pPr>
      <w:r>
        <w:rPr>
          <w:lang w:eastAsia="en-US"/>
        </w:rPr>
        <w:t>1- Celle-ci pose une question quelque peu différente de celle jusqu’alors posée dans les nombreuses affaires que nous avons été appelés à traiter ensemble.</w:t>
      </w:r>
    </w:p>
    <w:p w14:paraId="09037F28" w14:textId="77777777" w:rsidR="00A11935" w:rsidRDefault="00A11935" w:rsidP="00A11935">
      <w:pPr>
        <w:jc w:val="both"/>
        <w:rPr>
          <w:lang w:eastAsia="en-US"/>
        </w:rPr>
      </w:pPr>
      <w:r>
        <w:rPr>
          <w:lang w:eastAsia="en-US"/>
        </w:rPr>
        <w:t>Il s’agit en effet non pas d’apprécier le degré d’engagement du membre de la collectivité religieuse, notamment au cours de la période précédant l’émission des premiers vœux. Il s’agit d’apprécier la notion de congrégation ou de collectivité religieuse au sens de l’article L. 382-15 du code de la sécurité sociale.</w:t>
      </w:r>
    </w:p>
    <w:p w14:paraId="1FEB093B" w14:textId="77777777" w:rsidR="00A11935" w:rsidRDefault="00A11935" w:rsidP="00A11935">
      <w:pPr>
        <w:jc w:val="both"/>
        <w:rPr>
          <w:lang w:eastAsia="en-US"/>
        </w:rPr>
      </w:pPr>
      <w:r>
        <w:rPr>
          <w:lang w:eastAsia="en-US"/>
        </w:rPr>
        <w:t>Ce qui est tout autre.</w:t>
      </w:r>
    </w:p>
    <w:p w14:paraId="718E253A" w14:textId="77777777" w:rsidR="00A11935" w:rsidRDefault="00A11935" w:rsidP="00A11935">
      <w:pPr>
        <w:jc w:val="both"/>
        <w:rPr>
          <w:lang w:eastAsia="en-US"/>
        </w:rPr>
      </w:pPr>
      <w:r>
        <w:rPr>
          <w:lang w:eastAsia="en-US"/>
        </w:rPr>
        <w:t>Le raisonnement mené par la cour ne laisse pas de surprendre.</w:t>
      </w:r>
    </w:p>
    <w:p w14:paraId="5CEBC30A" w14:textId="77777777" w:rsidR="00A11935" w:rsidRDefault="00A11935" w:rsidP="00A11935">
      <w:pPr>
        <w:jc w:val="both"/>
        <w:rPr>
          <w:lang w:eastAsia="en-US"/>
        </w:rPr>
      </w:pPr>
      <w:r>
        <w:rPr>
          <w:lang w:eastAsia="en-US"/>
        </w:rPr>
        <w:t>Mais il est vrai que, comme vous me l’avez utilement précisé, la magistrate à l’origine de cette décision a reconnu ne rien comprendre à ce type d’affaire.</w:t>
      </w:r>
    </w:p>
    <w:p w14:paraId="1564382E" w14:textId="77777777" w:rsidR="00A11935" w:rsidRDefault="00A11935" w:rsidP="00A11935">
      <w:pPr>
        <w:jc w:val="both"/>
        <w:rPr>
          <w:lang w:eastAsia="en-US"/>
        </w:rPr>
      </w:pPr>
      <w:r>
        <w:rPr>
          <w:lang w:eastAsia="en-US"/>
        </w:rPr>
        <w:t xml:space="preserve">Cela transparaît à la lecture de l’arrêt. </w:t>
      </w:r>
    </w:p>
    <w:p w14:paraId="6A2EFA17" w14:textId="77777777" w:rsidR="00A11935" w:rsidRDefault="00A11935" w:rsidP="00A11935">
      <w:pPr>
        <w:jc w:val="both"/>
        <w:rPr>
          <w:lang w:eastAsia="en-US"/>
        </w:rPr>
      </w:pPr>
      <w:r>
        <w:rPr>
          <w:lang w:eastAsia="en-US"/>
        </w:rPr>
        <w:t>Je partage pleinement votre analyse en ce qu’il est difficile de comprendre en quoi l’attribution de tel ou tel statut purement canonique, à telle ou telle date, au cours de la vie de la communauté déjà créée, pourrait être déterminante.</w:t>
      </w:r>
    </w:p>
    <w:p w14:paraId="73458196" w14:textId="77777777" w:rsidR="00A11935" w:rsidRDefault="00A11935" w:rsidP="00A11935">
      <w:pPr>
        <w:jc w:val="both"/>
        <w:rPr>
          <w:lang w:eastAsia="en-US"/>
        </w:rPr>
      </w:pPr>
      <w:r>
        <w:rPr>
          <w:lang w:eastAsia="en-US"/>
        </w:rPr>
        <w:t>Manifestement, la cour n’a pas su user à bon escient des divers concepts en la matière.</w:t>
      </w:r>
    </w:p>
    <w:p w14:paraId="499A7492" w14:textId="77777777" w:rsidR="00A11935" w:rsidRDefault="00A11935" w:rsidP="00A11935">
      <w:pPr>
        <w:jc w:val="both"/>
        <w:rPr>
          <w:lang w:eastAsia="en-US"/>
        </w:rPr>
      </w:pPr>
      <w:r>
        <w:rPr>
          <w:lang w:eastAsia="en-US"/>
        </w:rPr>
        <w:t>Elle a, sans le dire expressément, confondu la congrégation religieuse au sens du droit commun avec l’association cultuelle telle qu’envisagée par la loi de séparation de l’</w:t>
      </w:r>
      <w:proofErr w:type="spellStart"/>
      <w:r>
        <w:rPr>
          <w:lang w:eastAsia="en-US"/>
        </w:rPr>
        <w:t>Eglise</w:t>
      </w:r>
      <w:proofErr w:type="spellEnd"/>
      <w:r>
        <w:rPr>
          <w:lang w:eastAsia="en-US"/>
        </w:rPr>
        <w:t xml:space="preserve"> et de l’</w:t>
      </w:r>
      <w:proofErr w:type="spellStart"/>
      <w:r>
        <w:rPr>
          <w:lang w:eastAsia="en-US"/>
        </w:rPr>
        <w:t>Etat</w:t>
      </w:r>
      <w:proofErr w:type="spellEnd"/>
      <w:r>
        <w:rPr>
          <w:lang w:eastAsia="en-US"/>
        </w:rPr>
        <w:t xml:space="preserve"> de 1905. Elle a </w:t>
      </w:r>
      <w:proofErr w:type="spellStart"/>
      <w:r>
        <w:rPr>
          <w:lang w:eastAsia="en-US"/>
        </w:rPr>
        <w:t>a</w:t>
      </w:r>
      <w:proofErr w:type="spellEnd"/>
      <w:r>
        <w:rPr>
          <w:lang w:eastAsia="en-US"/>
        </w:rPr>
        <w:t xml:space="preserve"> fortiori confondu cette association cultuelle avec la congrégation ou la collectivité religieuse envisagée par l’article L. 382-15 du code de la sécurité sociale et qui doit être entendue de manière large.</w:t>
      </w:r>
    </w:p>
    <w:p w14:paraId="7AC1A162" w14:textId="77777777" w:rsidR="00A11935" w:rsidRDefault="00A11935" w:rsidP="00A11935">
      <w:pPr>
        <w:jc w:val="both"/>
        <w:rPr>
          <w:lang w:eastAsia="en-US"/>
        </w:rPr>
      </w:pPr>
      <w:r>
        <w:rPr>
          <w:lang w:eastAsia="en-US"/>
        </w:rPr>
        <w:t>Cela explique ce raisonnement basé sur la notion de culte, sur les rapports entre l’</w:t>
      </w:r>
      <w:proofErr w:type="spellStart"/>
      <w:r>
        <w:rPr>
          <w:lang w:eastAsia="en-US"/>
        </w:rPr>
        <w:t>Etat</w:t>
      </w:r>
      <w:proofErr w:type="spellEnd"/>
      <w:r>
        <w:rPr>
          <w:lang w:eastAsia="en-US"/>
        </w:rPr>
        <w:t xml:space="preserve"> français et les six cultes reconnus, sur le contenu de l’article 4 de la loi de 1905, sur l’importance de la reconnaissance statutaire par telle ou telle autorité religieuse de l’un des cultes reconnus.</w:t>
      </w:r>
    </w:p>
    <w:p w14:paraId="04A2D1F7" w14:textId="77777777" w:rsidR="00A11935" w:rsidRDefault="00A11935" w:rsidP="00A11935">
      <w:pPr>
        <w:jc w:val="both"/>
        <w:rPr>
          <w:lang w:eastAsia="en-US"/>
        </w:rPr>
      </w:pPr>
      <w:r>
        <w:rPr>
          <w:lang w:eastAsia="en-US"/>
        </w:rPr>
        <w:t>Aussi, j’estime être en mesure de proposer une critique utile de l’arrêt attaqué en ce qu’il a refusé de considérer l’engagement de M. Descombas pour la période antérieure au 1er janvier 1985.</w:t>
      </w:r>
    </w:p>
    <w:p w14:paraId="230CE6F7" w14:textId="77777777" w:rsidR="00A11935" w:rsidRDefault="00A11935" w:rsidP="00A11935">
      <w:pPr>
        <w:jc w:val="both"/>
        <w:rPr>
          <w:lang w:eastAsia="en-US"/>
        </w:rPr>
      </w:pPr>
      <w:r>
        <w:rPr>
          <w:lang w:eastAsia="en-US"/>
        </w:rPr>
        <w:t>Ce d’autant plus que, comme vous l’indiquez à juste titre, la cour ne s’est pas prononcée sur certaines des pièces que nous produisions et desquelles il ressortait clairement que les autorités ecclésiales reconnaissaient suffisamment la communauté des Béatitudes dès avant le 1er janvier 1985.</w:t>
      </w:r>
    </w:p>
    <w:p w14:paraId="61823CD9" w14:textId="77777777" w:rsidR="00A11935" w:rsidRDefault="00A11935" w:rsidP="00A11935">
      <w:pPr>
        <w:jc w:val="both"/>
        <w:rPr>
          <w:lang w:eastAsia="en-US"/>
        </w:rPr>
      </w:pPr>
    </w:p>
    <w:p w14:paraId="0408BF3D" w14:textId="43A30EF9" w:rsidR="00A11935" w:rsidRDefault="00A11935" w:rsidP="00A11935">
      <w:pPr>
        <w:jc w:val="both"/>
        <w:rPr>
          <w:lang w:eastAsia="en-US"/>
        </w:rPr>
      </w:pPr>
      <w:r>
        <w:rPr>
          <w:lang w:eastAsia="en-US"/>
        </w:rPr>
        <w:lastRenderedPageBreak/>
        <w:t>2- Dans un deuxième moyen, je reproche à la cour d’avoir subordonné l’affiliation à la condition du paiement des cotisations par la communauté des Béatitudes.</w:t>
      </w:r>
    </w:p>
    <w:p w14:paraId="4FBA1E14" w14:textId="77777777" w:rsidR="00A11935" w:rsidRDefault="00A11935" w:rsidP="00A11935">
      <w:pPr>
        <w:jc w:val="both"/>
        <w:rPr>
          <w:lang w:eastAsia="en-US"/>
        </w:rPr>
      </w:pPr>
      <w:r>
        <w:rPr>
          <w:lang w:eastAsia="en-US"/>
        </w:rPr>
        <w:t xml:space="preserve">Cette manière de raisonner ne peut être admise tant il va de soi que l’affiliation judiciaire ne saurait être tributaire de cette question du paiement des cotisations, lequel paiement, par hypothèse n’a pu survenir jusqu’alors. </w:t>
      </w:r>
    </w:p>
    <w:p w14:paraId="2CFFC41A" w14:textId="77777777" w:rsidR="00A11935" w:rsidRDefault="00A11935" w:rsidP="00A11935">
      <w:pPr>
        <w:jc w:val="both"/>
        <w:rPr>
          <w:lang w:eastAsia="en-US"/>
        </w:rPr>
      </w:pPr>
      <w:r>
        <w:rPr>
          <w:lang w:eastAsia="en-US"/>
        </w:rPr>
        <w:t xml:space="preserve">Que l’exigence de ce paiement soit émise au moment de la liquidation de la pension n’y change rien car se trouvent alors confondues l’affiliation et la liquidation. </w:t>
      </w:r>
    </w:p>
    <w:p w14:paraId="51064973" w14:textId="77777777" w:rsidR="00A11935" w:rsidRDefault="00A11935" w:rsidP="00A11935">
      <w:pPr>
        <w:jc w:val="both"/>
        <w:rPr>
          <w:lang w:eastAsia="en-US"/>
        </w:rPr>
      </w:pPr>
      <w:r>
        <w:rPr>
          <w:lang w:eastAsia="en-US"/>
        </w:rPr>
        <w:t>Nous pouvons ainsi espérer une censure de l’arrêt.</w:t>
      </w:r>
    </w:p>
    <w:p w14:paraId="329E1D94" w14:textId="77777777" w:rsidR="00A11935" w:rsidRDefault="00A11935" w:rsidP="00A11935">
      <w:pPr>
        <w:jc w:val="both"/>
        <w:rPr>
          <w:lang w:eastAsia="en-US"/>
        </w:rPr>
      </w:pPr>
    </w:p>
    <w:p w14:paraId="262F639F" w14:textId="5C653B3B" w:rsidR="00A11935" w:rsidRDefault="00A11935" w:rsidP="00A11935">
      <w:pPr>
        <w:jc w:val="both"/>
        <w:rPr>
          <w:lang w:eastAsia="en-US"/>
        </w:rPr>
      </w:pPr>
      <w:r>
        <w:rPr>
          <w:lang w:eastAsia="en-US"/>
        </w:rPr>
        <w:t>3- De même, je produis un troisième moyen portant sur le chef de dispositif nous déboutant de notre demande en réparation du préjudice moral subi du fait de la faute de la CAVIMAC.</w:t>
      </w:r>
    </w:p>
    <w:p w14:paraId="3C680584" w14:textId="77777777" w:rsidR="00A11935" w:rsidRDefault="00A11935" w:rsidP="00A11935">
      <w:pPr>
        <w:jc w:val="both"/>
        <w:rPr>
          <w:lang w:eastAsia="en-US"/>
        </w:rPr>
      </w:pPr>
      <w:r>
        <w:rPr>
          <w:lang w:eastAsia="en-US"/>
        </w:rPr>
        <w:t>Cet organisme est incontestablement responsable de la situation en ce que les congrégations et collectivités religieuses n’ont pas cotisé précisément parce qu’elles n’y ont pas été incitées.</w:t>
      </w:r>
    </w:p>
    <w:p w14:paraId="418B06F5" w14:textId="77777777" w:rsidR="00A11935" w:rsidRDefault="00A11935" w:rsidP="00A11935">
      <w:pPr>
        <w:jc w:val="both"/>
        <w:rPr>
          <w:lang w:eastAsia="en-US"/>
        </w:rPr>
      </w:pPr>
      <w:r>
        <w:rPr>
          <w:lang w:eastAsia="en-US"/>
        </w:rPr>
        <w:t>Aussi, l’absence de demande personnelle de M. Descombas aux fins d’affiliation ne peut-elle être utilement invoquée afin de disculper la CAVIMAC.</w:t>
      </w:r>
    </w:p>
    <w:p w14:paraId="0D96B8DA" w14:textId="77777777" w:rsidR="00A11935" w:rsidRDefault="00A11935" w:rsidP="00A11935">
      <w:pPr>
        <w:jc w:val="both"/>
        <w:rPr>
          <w:lang w:eastAsia="en-US"/>
        </w:rPr>
      </w:pPr>
    </w:p>
    <w:p w14:paraId="6A3E407C" w14:textId="77777777" w:rsidR="00A11935" w:rsidRDefault="00A11935" w:rsidP="00A11935">
      <w:pPr>
        <w:jc w:val="both"/>
        <w:rPr>
          <w:lang w:eastAsia="en-US"/>
        </w:rPr>
      </w:pPr>
      <w:proofErr w:type="spellStart"/>
      <w:r>
        <w:rPr>
          <w:lang w:eastAsia="en-US"/>
        </w:rPr>
        <w:t>Etant</w:t>
      </w:r>
      <w:proofErr w:type="spellEnd"/>
      <w:r>
        <w:rPr>
          <w:lang w:eastAsia="en-US"/>
        </w:rPr>
        <w:t xml:space="preserve"> ainsi en mesure de proposer une discussion sérieuse, je conseille le maintien du pourvoi.</w:t>
      </w:r>
    </w:p>
    <w:p w14:paraId="713CC536" w14:textId="77777777" w:rsidR="00A11935" w:rsidRDefault="00A11935" w:rsidP="00A11935">
      <w:pPr>
        <w:jc w:val="both"/>
        <w:rPr>
          <w:lang w:eastAsia="en-US"/>
        </w:rPr>
      </w:pPr>
    </w:p>
    <w:p w14:paraId="4366A599" w14:textId="77777777" w:rsidR="00A11935" w:rsidRDefault="00A11935" w:rsidP="00A11935">
      <w:pPr>
        <w:jc w:val="both"/>
        <w:rPr>
          <w:lang w:eastAsia="en-US"/>
        </w:rPr>
      </w:pPr>
      <w:r>
        <w:rPr>
          <w:lang w:eastAsia="en-US"/>
        </w:rPr>
        <w:t>Restant à votre disposition, je vous prie de croire, Monsieur, à l’assurance de mes sentiments dévoués.</w:t>
      </w:r>
    </w:p>
    <w:p w14:paraId="53EBB785" w14:textId="77777777" w:rsidR="00A11935" w:rsidRDefault="00A11935" w:rsidP="00A11935">
      <w:pPr>
        <w:jc w:val="both"/>
        <w:rPr>
          <w:lang w:eastAsia="en-US"/>
        </w:rPr>
      </w:pPr>
    </w:p>
    <w:p w14:paraId="14EC5A76" w14:textId="77777777" w:rsidR="00A11935" w:rsidRDefault="00A11935" w:rsidP="00A11935">
      <w:pPr>
        <w:jc w:val="both"/>
        <w:rPr>
          <w:lang w:eastAsia="en-US"/>
        </w:rPr>
      </w:pPr>
    </w:p>
    <w:p w14:paraId="4A571EFC" w14:textId="77777777" w:rsidR="00A11935" w:rsidRDefault="00A11935" w:rsidP="00A11935">
      <w:pPr>
        <w:jc w:val="both"/>
        <w:rPr>
          <w:lang w:eastAsia="en-US"/>
        </w:rPr>
      </w:pPr>
      <w:r>
        <w:rPr>
          <w:lang w:eastAsia="en-US"/>
        </w:rPr>
        <w:t>APRC</w:t>
      </w:r>
    </w:p>
    <w:p w14:paraId="0B4C7348" w14:textId="77777777" w:rsidR="00A11935" w:rsidRDefault="00A11935" w:rsidP="00A11935">
      <w:pPr>
        <w:jc w:val="both"/>
        <w:rPr>
          <w:lang w:eastAsia="en-US"/>
        </w:rPr>
      </w:pPr>
      <w:r>
        <w:rPr>
          <w:lang w:eastAsia="en-US"/>
        </w:rPr>
        <w:t>Monsieur Alain GAUTHIER</w:t>
      </w:r>
    </w:p>
    <w:p w14:paraId="0EEF3A72" w14:textId="77777777" w:rsidR="00A11935" w:rsidRDefault="00A11935" w:rsidP="00A11935">
      <w:pPr>
        <w:jc w:val="both"/>
        <w:rPr>
          <w:lang w:eastAsia="en-US"/>
        </w:rPr>
      </w:pPr>
      <w:r>
        <w:rPr>
          <w:lang w:eastAsia="en-US"/>
        </w:rPr>
        <w:t>Directeur</w:t>
      </w:r>
    </w:p>
    <w:p w14:paraId="0AA1DE1E" w14:textId="77777777" w:rsidR="00A11935" w:rsidRDefault="00A11935" w:rsidP="00A11935">
      <w:pPr>
        <w:jc w:val="both"/>
        <w:rPr>
          <w:lang w:eastAsia="en-US"/>
        </w:rPr>
      </w:pPr>
    </w:p>
    <w:p w14:paraId="7ED2C8EF" w14:textId="77777777" w:rsidR="00A11935" w:rsidRDefault="00A11935" w:rsidP="00A11935">
      <w:pPr>
        <w:jc w:val="both"/>
        <w:rPr>
          <w:lang w:eastAsia="en-US"/>
        </w:rPr>
      </w:pPr>
      <w:r>
        <w:rPr>
          <w:lang w:eastAsia="en-US"/>
        </w:rPr>
        <w:t xml:space="preserve">Mail : </w:t>
      </w:r>
      <w:hyperlink r:id="rId8" w:history="1">
        <w:r>
          <w:rPr>
            <w:rStyle w:val="Lienhypertexte"/>
            <w:color w:val="0563C1"/>
            <w:lang w:eastAsia="en-US"/>
          </w:rPr>
          <w:t>alaingauthier1617@neuf.fr</w:t>
        </w:r>
      </w:hyperlink>
    </w:p>
    <w:p w14:paraId="7773872F" w14:textId="77777777" w:rsidR="00A11935" w:rsidRDefault="00A11935" w:rsidP="00A11935">
      <w:pPr>
        <w:rPr>
          <w:lang w:eastAsia="en-US"/>
        </w:rPr>
      </w:pPr>
    </w:p>
    <w:p w14:paraId="26161AC6" w14:textId="77777777" w:rsidR="00A11935" w:rsidRDefault="00A11935" w:rsidP="00A11935">
      <w:pPr>
        <w:rPr>
          <w:lang w:eastAsia="en-US"/>
        </w:rPr>
      </w:pPr>
    </w:p>
    <w:p w14:paraId="390DEBC8" w14:textId="77777777" w:rsidR="00A11935" w:rsidRDefault="00A11935" w:rsidP="00A11935">
      <w:pPr>
        <w:rPr>
          <w:b/>
          <w:bCs/>
          <w:sz w:val="24"/>
          <w:szCs w:val="24"/>
        </w:rPr>
      </w:pPr>
      <w:r>
        <w:rPr>
          <w:b/>
          <w:bCs/>
          <w:sz w:val="24"/>
          <w:szCs w:val="24"/>
        </w:rPr>
        <w:t>SCP GATINEAU – FATTACCINI</w:t>
      </w:r>
    </w:p>
    <w:p w14:paraId="661B26EE" w14:textId="77777777" w:rsidR="00A11935" w:rsidRDefault="00A11935" w:rsidP="00A11935">
      <w:pPr>
        <w:rPr>
          <w:i/>
          <w:iCs/>
        </w:rPr>
      </w:pPr>
      <w:r>
        <w:rPr>
          <w:i/>
          <w:iCs/>
        </w:rPr>
        <w:t>Avocat au Conseil d’</w:t>
      </w:r>
      <w:proofErr w:type="spellStart"/>
      <w:r>
        <w:rPr>
          <w:i/>
          <w:iCs/>
        </w:rPr>
        <w:t>Etat</w:t>
      </w:r>
      <w:proofErr w:type="spellEnd"/>
    </w:p>
    <w:p w14:paraId="3AB1590B" w14:textId="77777777" w:rsidR="00A11935" w:rsidRDefault="00A11935" w:rsidP="00A11935">
      <w:pPr>
        <w:rPr>
          <w:i/>
          <w:iCs/>
        </w:rPr>
      </w:pPr>
      <w:r>
        <w:rPr>
          <w:i/>
          <w:iCs/>
        </w:rPr>
        <w:t>et à la Cour de Cassation</w:t>
      </w:r>
    </w:p>
    <w:p w14:paraId="40B1DA01" w14:textId="77777777" w:rsidR="00A11935" w:rsidRDefault="00A11935" w:rsidP="00A11935">
      <w:pPr>
        <w:rPr>
          <w:i/>
          <w:iCs/>
        </w:rPr>
      </w:pPr>
      <w:r>
        <w:rPr>
          <w:i/>
          <w:iCs/>
        </w:rPr>
        <w:t>18 avenue de Friedland – 75008 Paris</w:t>
      </w:r>
    </w:p>
    <w:p w14:paraId="02053E7F" w14:textId="77777777" w:rsidR="00A11935" w:rsidRDefault="00A11935" w:rsidP="00A11935">
      <w:pPr>
        <w:rPr>
          <w:i/>
          <w:iCs/>
        </w:rPr>
      </w:pPr>
      <w:r>
        <w:rPr>
          <w:i/>
          <w:iCs/>
        </w:rPr>
        <w:t>Tél : 01.45.63.16.32 – Fax : 01.45.63.16.27</w:t>
      </w:r>
    </w:p>
    <w:p w14:paraId="1E3B315B" w14:textId="77777777" w:rsidR="00A11935" w:rsidRDefault="00A11935" w:rsidP="00A11935">
      <w:pPr>
        <w:rPr>
          <w:i/>
          <w:iCs/>
        </w:rPr>
      </w:pPr>
      <w:r>
        <w:rPr>
          <w:i/>
          <w:iCs/>
        </w:rPr>
        <w:t xml:space="preserve">Courriel : </w:t>
      </w:r>
      <w:hyperlink r:id="rId9" w:history="1">
        <w:r>
          <w:rPr>
            <w:rStyle w:val="Lienhypertexte"/>
            <w:i/>
            <w:iCs/>
            <w:color w:val="0563C1"/>
          </w:rPr>
          <w:t>scp-gatineau-fattaccini@orange.fr</w:t>
        </w:r>
      </w:hyperlink>
    </w:p>
    <w:p w14:paraId="5FE131C5" w14:textId="77777777" w:rsidR="00A11935" w:rsidRDefault="00A11935" w:rsidP="00A11935">
      <w:pPr>
        <w:rPr>
          <w:lang w:eastAsia="en-US"/>
        </w:rPr>
      </w:pPr>
    </w:p>
    <w:p w14:paraId="5D3F4EDF" w14:textId="77777777" w:rsidR="00A11935" w:rsidRDefault="00A11935" w:rsidP="00A11935">
      <w:pPr>
        <w:rPr>
          <w:lang w:eastAsia="en-US"/>
        </w:rPr>
      </w:pPr>
    </w:p>
    <w:p w14:paraId="0307A0CF" w14:textId="77777777" w:rsidR="008836A7" w:rsidRDefault="00A11935"/>
    <w:sectPr w:rsidR="00883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35"/>
    <w:rsid w:val="009F5E95"/>
    <w:rsid w:val="00A11935"/>
    <w:rsid w:val="00D307C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3AA9"/>
  <w15:chartTrackingRefBased/>
  <w15:docId w15:val="{0E9CB75E-4C4F-4B3E-8193-4A7A8606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35"/>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1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6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gauthier1617@neuf.fr" TargetMode="External"/><Relationship Id="rId3" Type="http://schemas.openxmlformats.org/officeDocument/2006/relationships/webSettings" Target="webSettings.xml"/><Relationship Id="rId7" Type="http://schemas.openxmlformats.org/officeDocument/2006/relationships/hyperlink" Target="mailto:alaingauthier1617@neuf.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p-gatineau-fattaccini@orange.fr" TargetMode="External"/><Relationship Id="rId11" Type="http://schemas.openxmlformats.org/officeDocument/2006/relationships/theme" Target="theme/theme1.xml"/><Relationship Id="rId5" Type="http://schemas.openxmlformats.org/officeDocument/2006/relationships/hyperlink" Target="https://go.microsoft.com/fwlink/?LinkId=550986"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scp-gatineau-fattaccini@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4241</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dcterms:created xsi:type="dcterms:W3CDTF">2020-11-12T19:24:00Z</dcterms:created>
  <dcterms:modified xsi:type="dcterms:W3CDTF">2020-11-12T19:28:00Z</dcterms:modified>
</cp:coreProperties>
</file>