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B45F" w14:textId="77777777" w:rsidR="00FE30F7" w:rsidRPr="00384348" w:rsidRDefault="00FE30F7" w:rsidP="00FE30F7">
      <w:pPr>
        <w:ind w:left="113" w:right="113"/>
        <w:jc w:val="center"/>
        <w:rPr>
          <w:b/>
          <w:bCs/>
          <w:u w:val="single"/>
        </w:rPr>
      </w:pPr>
      <w:r w:rsidRPr="00384348">
        <w:rPr>
          <w:b/>
          <w:bCs/>
          <w:u w:val="single"/>
        </w:rPr>
        <w:t>COUR DE CASSATION</w:t>
      </w:r>
    </w:p>
    <w:p w14:paraId="32309806" w14:textId="77777777" w:rsidR="00FE30F7" w:rsidRPr="00384348" w:rsidRDefault="00FE30F7" w:rsidP="00FE30F7">
      <w:pPr>
        <w:ind w:left="113" w:right="113"/>
        <w:jc w:val="center"/>
        <w:rPr>
          <w:b/>
          <w:bCs/>
          <w:u w:val="single"/>
        </w:rPr>
      </w:pPr>
    </w:p>
    <w:p w14:paraId="0D44ED3C" w14:textId="77777777" w:rsidR="00FE30F7" w:rsidRPr="00384348" w:rsidRDefault="00FE30F7" w:rsidP="00FE30F7">
      <w:pPr>
        <w:ind w:left="113" w:right="113"/>
        <w:jc w:val="center"/>
        <w:rPr>
          <w:b/>
          <w:bCs/>
          <w:u w:val="single"/>
        </w:rPr>
      </w:pPr>
      <w:r w:rsidRPr="00384348">
        <w:rPr>
          <w:b/>
          <w:bCs/>
          <w:u w:val="single"/>
        </w:rPr>
        <w:t>CHAMBRES CIVILES</w:t>
      </w:r>
    </w:p>
    <w:p w14:paraId="284DBC1D" w14:textId="77777777" w:rsidR="00FE30F7" w:rsidRDefault="00FE30F7" w:rsidP="00FE30F7">
      <w:pPr>
        <w:ind w:right="113"/>
        <w:rPr>
          <w:b/>
          <w:bCs/>
          <w:u w:val="single"/>
        </w:rPr>
      </w:pPr>
    </w:p>
    <w:p w14:paraId="4936698B" w14:textId="77777777" w:rsidR="00FE30F7" w:rsidRPr="00384348" w:rsidRDefault="00FE30F7" w:rsidP="00FE30F7">
      <w:pPr>
        <w:ind w:right="113"/>
        <w:rPr>
          <w:b/>
          <w:bCs/>
          <w:u w:val="single"/>
        </w:rPr>
      </w:pPr>
    </w:p>
    <w:p w14:paraId="477BDE80" w14:textId="77777777" w:rsidR="00FE30F7" w:rsidRDefault="00FE30F7" w:rsidP="00FE30F7">
      <w:pPr>
        <w:ind w:right="113"/>
        <w:jc w:val="center"/>
        <w:rPr>
          <w:b/>
          <w:bCs/>
          <w:sz w:val="28"/>
          <w:szCs w:val="28"/>
          <w:u w:val="single"/>
        </w:rPr>
      </w:pPr>
      <w:r>
        <w:rPr>
          <w:b/>
          <w:bCs/>
          <w:u w:val="single"/>
        </w:rPr>
        <w:t xml:space="preserve">REPLIQUE </w:t>
      </w:r>
      <w:r w:rsidR="00F2467B">
        <w:rPr>
          <w:b/>
          <w:bCs/>
          <w:u w:val="single"/>
        </w:rPr>
        <w:t>A</w:t>
      </w:r>
      <w:r w:rsidR="00014524">
        <w:rPr>
          <w:b/>
          <w:bCs/>
          <w:u w:val="single"/>
        </w:rPr>
        <w:t>U</w:t>
      </w:r>
      <w:r w:rsidR="00F2467B">
        <w:rPr>
          <w:b/>
          <w:bCs/>
          <w:u w:val="single"/>
        </w:rPr>
        <w:t xml:space="preserve"> RAPPORT</w:t>
      </w:r>
    </w:p>
    <w:p w14:paraId="7613A8A4" w14:textId="77777777" w:rsidR="00FE30F7" w:rsidRDefault="00FE30F7" w:rsidP="00FE30F7">
      <w:pPr>
        <w:ind w:right="113"/>
        <w:rPr>
          <w:b/>
          <w:bCs/>
          <w:u w:val="single"/>
        </w:rPr>
      </w:pPr>
    </w:p>
    <w:p w14:paraId="6B399B1B" w14:textId="77777777" w:rsidR="00FE30F7" w:rsidRDefault="00FE30F7" w:rsidP="00FE30F7">
      <w:pPr>
        <w:ind w:right="113"/>
        <w:rPr>
          <w:b/>
          <w:bCs/>
          <w:u w:val="single"/>
        </w:rPr>
      </w:pPr>
    </w:p>
    <w:p w14:paraId="1C003AA5" w14:textId="77777777" w:rsidR="00FE30F7" w:rsidRDefault="00FE30F7" w:rsidP="00FE30F7">
      <w:pPr>
        <w:ind w:right="113"/>
        <w:rPr>
          <w:b/>
          <w:bCs/>
          <w:u w:val="single"/>
        </w:rPr>
      </w:pPr>
    </w:p>
    <w:p w14:paraId="4FD68BB4" w14:textId="77777777" w:rsidR="00FE30F7" w:rsidRDefault="00FE30F7" w:rsidP="00FE30F7">
      <w:pPr>
        <w:ind w:right="113"/>
        <w:jc w:val="both"/>
        <w:rPr>
          <w:b/>
          <w:bCs/>
        </w:rPr>
      </w:pPr>
      <w:r>
        <w:rPr>
          <w:b/>
          <w:bCs/>
          <w:u w:val="single"/>
        </w:rPr>
        <w:t>POUR</w:t>
      </w:r>
      <w:r>
        <w:rPr>
          <w:b/>
          <w:bCs/>
        </w:rPr>
        <w:t xml:space="preserve"> :</w:t>
      </w:r>
    </w:p>
    <w:p w14:paraId="74BA6855" w14:textId="77777777" w:rsidR="00FE30F7" w:rsidRDefault="00FE30F7" w:rsidP="00FE30F7">
      <w:pPr>
        <w:ind w:right="113"/>
        <w:jc w:val="both"/>
        <w:rPr>
          <w:b/>
          <w:bCs/>
        </w:rPr>
      </w:pPr>
    </w:p>
    <w:p w14:paraId="2E416CF5" w14:textId="77777777" w:rsidR="00FE30F7" w:rsidRDefault="00FE30F7" w:rsidP="00FE30F7">
      <w:pPr>
        <w:ind w:right="113"/>
        <w:jc w:val="both"/>
        <w:rPr>
          <w:bCs/>
        </w:rPr>
      </w:pPr>
      <w:r>
        <w:rPr>
          <w:bCs/>
        </w:rPr>
        <w:t>M. Franck Descombas</w:t>
      </w:r>
    </w:p>
    <w:p w14:paraId="1EFDB205" w14:textId="77777777" w:rsidR="00FE30F7" w:rsidRPr="00813289" w:rsidRDefault="00FE30F7" w:rsidP="00FE30F7">
      <w:pPr>
        <w:ind w:right="113"/>
        <w:jc w:val="both"/>
        <w:rPr>
          <w:bCs/>
        </w:rPr>
      </w:pPr>
    </w:p>
    <w:p w14:paraId="05A33A71" w14:textId="77777777" w:rsidR="00FE30F7" w:rsidRDefault="00FE30F7" w:rsidP="00FE30F7">
      <w:pPr>
        <w:ind w:right="113"/>
        <w:rPr>
          <w:i/>
          <w:iCs/>
        </w:rPr>
      </w:pPr>
      <w:r>
        <w:rPr>
          <w:i/>
          <w:iCs/>
        </w:rPr>
        <w:t xml:space="preserve">Ayant pour avocat à la Cour de cassation la SCP Gatineau – </w:t>
      </w:r>
      <w:proofErr w:type="spellStart"/>
      <w:r>
        <w:rPr>
          <w:i/>
          <w:iCs/>
        </w:rPr>
        <w:t>Fattaccini</w:t>
      </w:r>
      <w:proofErr w:type="spellEnd"/>
    </w:p>
    <w:p w14:paraId="6205C59C" w14:textId="77777777" w:rsidR="00FE30F7" w:rsidRDefault="00FE30F7" w:rsidP="00FE30F7">
      <w:pPr>
        <w:ind w:right="113"/>
      </w:pPr>
    </w:p>
    <w:p w14:paraId="127AD33B" w14:textId="77777777" w:rsidR="00FE30F7" w:rsidRDefault="00FE30F7" w:rsidP="00FE30F7">
      <w:pPr>
        <w:ind w:right="113"/>
      </w:pPr>
    </w:p>
    <w:p w14:paraId="0D0644F2" w14:textId="77777777" w:rsidR="00FE30F7" w:rsidRDefault="00FE30F7" w:rsidP="00FE30F7">
      <w:pPr>
        <w:ind w:left="1687" w:right="113" w:hanging="1687"/>
        <w:rPr>
          <w:b/>
          <w:bCs/>
        </w:rPr>
      </w:pPr>
      <w:r>
        <w:rPr>
          <w:b/>
          <w:bCs/>
          <w:u w:val="single"/>
        </w:rPr>
        <w:t>CONTRE</w:t>
      </w:r>
      <w:r>
        <w:rPr>
          <w:b/>
          <w:bCs/>
        </w:rPr>
        <w:t xml:space="preserve"> :</w:t>
      </w:r>
    </w:p>
    <w:p w14:paraId="448FA878" w14:textId="77777777" w:rsidR="00FE30F7" w:rsidRDefault="00FE30F7" w:rsidP="00FE30F7">
      <w:pPr>
        <w:ind w:right="113"/>
        <w:rPr>
          <w:iCs/>
        </w:rPr>
      </w:pPr>
    </w:p>
    <w:p w14:paraId="563ED20B" w14:textId="77777777" w:rsidR="00FE30F7" w:rsidRDefault="00FE30F7" w:rsidP="00FE30F7">
      <w:pPr>
        <w:numPr>
          <w:ilvl w:val="0"/>
          <w:numId w:val="1"/>
        </w:numPr>
        <w:ind w:right="113"/>
        <w:rPr>
          <w:iCs/>
        </w:rPr>
      </w:pPr>
      <w:r>
        <w:rPr>
          <w:iCs/>
        </w:rPr>
        <w:t>la caisse d’assurance vieillesse, invalidité et maladie des cultes (CAVIMAC)</w:t>
      </w:r>
    </w:p>
    <w:p w14:paraId="430CD0A7" w14:textId="77777777" w:rsidR="00014524" w:rsidRDefault="00014524" w:rsidP="00014524">
      <w:pPr>
        <w:ind w:right="113"/>
        <w:rPr>
          <w:iCs/>
        </w:rPr>
      </w:pPr>
    </w:p>
    <w:p w14:paraId="5DAD7CA5" w14:textId="77777777" w:rsidR="00014524" w:rsidRDefault="00014524" w:rsidP="00014524">
      <w:pPr>
        <w:ind w:right="113"/>
        <w:rPr>
          <w:iCs/>
        </w:rPr>
      </w:pPr>
      <w:r>
        <w:rPr>
          <w:i/>
          <w:iCs/>
        </w:rPr>
        <w:t xml:space="preserve">Ayant pour avocat à la Cour de cassation la </w:t>
      </w:r>
      <w:r w:rsidRPr="00014524">
        <w:rPr>
          <w:i/>
          <w:iCs/>
        </w:rPr>
        <w:t>SCP Rousseau et Tapie</w:t>
      </w:r>
    </w:p>
    <w:p w14:paraId="6393A7F2" w14:textId="77777777" w:rsidR="00FE30F7" w:rsidRDefault="00FE30F7" w:rsidP="00FE30F7">
      <w:pPr>
        <w:ind w:left="360" w:right="113"/>
        <w:rPr>
          <w:iCs/>
        </w:rPr>
      </w:pPr>
    </w:p>
    <w:p w14:paraId="329EDF3C" w14:textId="77777777" w:rsidR="00FE30F7" w:rsidRDefault="00FE30F7" w:rsidP="00FE30F7">
      <w:pPr>
        <w:numPr>
          <w:ilvl w:val="0"/>
          <w:numId w:val="1"/>
        </w:numPr>
        <w:ind w:right="113"/>
        <w:rPr>
          <w:iCs/>
        </w:rPr>
      </w:pPr>
      <w:r>
        <w:rPr>
          <w:iCs/>
        </w:rPr>
        <w:t>la communauté des Béatitudes</w:t>
      </w:r>
    </w:p>
    <w:p w14:paraId="13E6BEFE" w14:textId="77777777" w:rsidR="00FE30F7" w:rsidRDefault="00FE30F7" w:rsidP="00FE30F7">
      <w:pPr>
        <w:ind w:right="113"/>
        <w:rPr>
          <w:iCs/>
        </w:rPr>
      </w:pPr>
    </w:p>
    <w:p w14:paraId="1639C09C" w14:textId="77777777" w:rsidR="00014524" w:rsidRDefault="00014524" w:rsidP="00FE30F7">
      <w:pPr>
        <w:ind w:right="113"/>
        <w:rPr>
          <w:iCs/>
        </w:rPr>
      </w:pPr>
      <w:r>
        <w:rPr>
          <w:i/>
          <w:iCs/>
        </w:rPr>
        <w:t xml:space="preserve">Ayant pour avocat à la Cour de cassation la </w:t>
      </w:r>
      <w:r w:rsidRPr="00014524">
        <w:rPr>
          <w:i/>
          <w:iCs/>
        </w:rPr>
        <w:t xml:space="preserve">SCP </w:t>
      </w:r>
      <w:proofErr w:type="spellStart"/>
      <w:r w:rsidRPr="00014524">
        <w:rPr>
          <w:i/>
          <w:iCs/>
        </w:rPr>
        <w:t>Matuchansky</w:t>
      </w:r>
      <w:proofErr w:type="spellEnd"/>
      <w:r w:rsidRPr="00014524">
        <w:rPr>
          <w:i/>
          <w:iCs/>
        </w:rPr>
        <w:t xml:space="preserve">, </w:t>
      </w:r>
      <w:proofErr w:type="spellStart"/>
      <w:r w:rsidRPr="00014524">
        <w:rPr>
          <w:i/>
          <w:iCs/>
        </w:rPr>
        <w:t>Poupot</w:t>
      </w:r>
      <w:proofErr w:type="spellEnd"/>
      <w:r w:rsidRPr="00014524">
        <w:rPr>
          <w:i/>
          <w:iCs/>
        </w:rPr>
        <w:t xml:space="preserve"> et </w:t>
      </w:r>
      <w:proofErr w:type="spellStart"/>
      <w:r w:rsidRPr="00014524">
        <w:rPr>
          <w:i/>
          <w:iCs/>
        </w:rPr>
        <w:t>Valdelièvre</w:t>
      </w:r>
      <w:proofErr w:type="spellEnd"/>
    </w:p>
    <w:p w14:paraId="409EEC33" w14:textId="77777777" w:rsidR="00FE30F7" w:rsidRDefault="00FE30F7" w:rsidP="00FE30F7">
      <w:pPr>
        <w:ind w:right="113"/>
        <w:rPr>
          <w:iCs/>
        </w:rPr>
      </w:pPr>
    </w:p>
    <w:p w14:paraId="2BD83DF7" w14:textId="77777777" w:rsidR="00FE30F7" w:rsidRDefault="00FE30F7" w:rsidP="00FE30F7">
      <w:pPr>
        <w:ind w:right="113"/>
        <w:rPr>
          <w:iCs/>
        </w:rPr>
      </w:pPr>
    </w:p>
    <w:p w14:paraId="21CDF39D" w14:textId="77777777" w:rsidR="00FE30F7" w:rsidRPr="00390006" w:rsidRDefault="00FE30F7" w:rsidP="00FE30F7">
      <w:pPr>
        <w:ind w:left="180" w:right="113"/>
        <w:jc w:val="center"/>
        <w:rPr>
          <w:b/>
          <w:bCs/>
          <w:u w:val="single"/>
        </w:rPr>
      </w:pPr>
      <w:r>
        <w:rPr>
          <w:b/>
          <w:bCs/>
          <w:u w:val="single"/>
        </w:rPr>
        <w:t>Observations à l’appui du pourvoi n° B 18-19.991</w:t>
      </w:r>
    </w:p>
    <w:p w14:paraId="7507A16D" w14:textId="77777777" w:rsidR="00FE30F7" w:rsidRDefault="00FE30F7" w:rsidP="00FE30F7">
      <w:pPr>
        <w:rPr>
          <w:b/>
        </w:rPr>
      </w:pPr>
    </w:p>
    <w:p w14:paraId="40C8D92B" w14:textId="77777777" w:rsidR="00FE30F7" w:rsidRDefault="00FE30F7" w:rsidP="00FE30F7"/>
    <w:p w14:paraId="74402926" w14:textId="77777777" w:rsidR="00FE30F7" w:rsidRDefault="00627A61" w:rsidP="00FE30F7">
      <w:pPr>
        <w:ind w:firstLine="540"/>
        <w:jc w:val="both"/>
      </w:pPr>
      <w:r>
        <w:t>L’exposant</w:t>
      </w:r>
      <w:r w:rsidR="00FE30F7">
        <w:t xml:space="preserve"> </w:t>
      </w:r>
      <w:r w:rsidR="00014524">
        <w:t xml:space="preserve">souhaite apporter de brèves observations en réponse </w:t>
      </w:r>
      <w:r w:rsidR="00FE30F7">
        <w:t>au rapport établi par Monsieur le Conseiller Rapporteur.</w:t>
      </w:r>
    </w:p>
    <w:p w14:paraId="5C779189" w14:textId="77777777" w:rsidR="00651CC6" w:rsidRDefault="00651CC6" w:rsidP="00FE30F7">
      <w:pPr>
        <w:ind w:firstLine="540"/>
        <w:jc w:val="both"/>
      </w:pPr>
    </w:p>
    <w:p w14:paraId="721722FC" w14:textId="77777777" w:rsidR="00651CC6" w:rsidRDefault="002A0AC9" w:rsidP="00FE30F7">
      <w:pPr>
        <w:ind w:firstLine="540"/>
        <w:jc w:val="both"/>
      </w:pPr>
      <w:r>
        <w:rPr>
          <w:b/>
        </w:rPr>
        <w:t>I</w:t>
      </w:r>
      <w:r w:rsidR="00D7191B" w:rsidRPr="002A0AC9">
        <w:rPr>
          <w:b/>
        </w:rPr>
        <w:t>-</w:t>
      </w:r>
      <w:r w:rsidR="00D7191B">
        <w:t xml:space="preserve"> </w:t>
      </w:r>
      <w:r w:rsidR="00D43121" w:rsidRPr="00330015">
        <w:rPr>
          <w:u w:val="single"/>
        </w:rPr>
        <w:t xml:space="preserve">S’agissant des </w:t>
      </w:r>
      <w:r w:rsidR="00651CC6" w:rsidRPr="00330015">
        <w:rPr>
          <w:u w:val="single"/>
        </w:rPr>
        <w:t xml:space="preserve">deuxième, </w:t>
      </w:r>
      <w:proofErr w:type="gramStart"/>
      <w:r w:rsidR="00651CC6" w:rsidRPr="00330015">
        <w:rPr>
          <w:u w:val="single"/>
        </w:rPr>
        <w:t>troisième et si</w:t>
      </w:r>
      <w:r w:rsidR="00D43121" w:rsidRPr="00330015">
        <w:rPr>
          <w:u w:val="single"/>
        </w:rPr>
        <w:t>xième branches</w:t>
      </w:r>
      <w:proofErr w:type="gramEnd"/>
      <w:r w:rsidR="00D43121" w:rsidRPr="00330015">
        <w:rPr>
          <w:u w:val="single"/>
        </w:rPr>
        <w:t xml:space="preserve"> du premier moyen</w:t>
      </w:r>
      <w:r w:rsidR="00D43121">
        <w:t xml:space="preserve">, </w:t>
      </w:r>
      <w:r w:rsidR="00593785">
        <w:t xml:space="preserve">Monsieur le Conseiller Rapporteur fait état de </w:t>
      </w:r>
      <w:r w:rsidR="00D43121">
        <w:t>la nécessité d’une vérification par la Cour de cassation de la validité du raisonnement suivi par la cour d’appel.</w:t>
      </w:r>
    </w:p>
    <w:p w14:paraId="7CA6252A" w14:textId="77777777" w:rsidR="00D43121" w:rsidRDefault="00D43121" w:rsidP="00FE30F7">
      <w:pPr>
        <w:ind w:firstLine="540"/>
        <w:jc w:val="both"/>
      </w:pPr>
    </w:p>
    <w:p w14:paraId="0CECB3C6" w14:textId="77777777" w:rsidR="00D43121" w:rsidRDefault="00D43121" w:rsidP="00FE30F7">
      <w:pPr>
        <w:ind w:firstLine="540"/>
        <w:jc w:val="both"/>
      </w:pPr>
      <w:r>
        <w:t xml:space="preserve">Or, il est manifeste que celle-ci n’a pu retenir qu’une collectivité religieuse doit, pour être considérée sur le terrain de l’article L. 382-15 du code de la sécurité sociale, </w:t>
      </w:r>
      <w:r w:rsidR="002A0AC9">
        <w:t xml:space="preserve">se trouver </w:t>
      </w:r>
      <w:r>
        <w:t>rattachée à un culte officiel donné.</w:t>
      </w:r>
    </w:p>
    <w:p w14:paraId="6FB95B9D" w14:textId="77777777" w:rsidR="00D43121" w:rsidRDefault="00D43121" w:rsidP="00FE30F7">
      <w:pPr>
        <w:ind w:firstLine="540"/>
        <w:jc w:val="both"/>
      </w:pPr>
    </w:p>
    <w:p w14:paraId="34FC8814" w14:textId="77777777" w:rsidR="00D43121" w:rsidRDefault="00D43121" w:rsidP="00FE30F7">
      <w:pPr>
        <w:ind w:firstLine="540"/>
        <w:jc w:val="both"/>
      </w:pPr>
      <w:r>
        <w:t xml:space="preserve">La pierre d’angle du raisonnement mené par la cour repose sur </w:t>
      </w:r>
      <w:proofErr w:type="gramStart"/>
      <w:r>
        <w:t>cette prétendue nécessité</w:t>
      </w:r>
      <w:proofErr w:type="gramEnd"/>
      <w:r>
        <w:t xml:space="preserve"> d’une reconnaissance de la communauté par l’un des six grands cultes officiels.</w:t>
      </w:r>
    </w:p>
    <w:p w14:paraId="56FD2C6C" w14:textId="77777777" w:rsidR="00D43121" w:rsidRDefault="00D43121" w:rsidP="00FE30F7">
      <w:pPr>
        <w:ind w:firstLine="540"/>
        <w:jc w:val="both"/>
      </w:pPr>
    </w:p>
    <w:p w14:paraId="499E1E2D" w14:textId="77777777" w:rsidR="00D43121" w:rsidRDefault="00D43121" w:rsidP="00FE30F7">
      <w:pPr>
        <w:ind w:firstLine="540"/>
        <w:jc w:val="both"/>
      </w:pPr>
      <w:r>
        <w:t>Ce présupposé erroné est à l’origine de l’amalgame dénoncé entre le droit de la sécurité sociale et les règles issues de la loi de 1905.</w:t>
      </w:r>
    </w:p>
    <w:p w14:paraId="51F87040" w14:textId="77777777" w:rsidR="00627A61" w:rsidRDefault="00627A61" w:rsidP="00FE30F7">
      <w:pPr>
        <w:ind w:firstLine="540"/>
        <w:jc w:val="both"/>
      </w:pPr>
    </w:p>
    <w:p w14:paraId="42F7212A" w14:textId="77777777" w:rsidR="00627A61" w:rsidRDefault="00627A61" w:rsidP="00FE30F7">
      <w:pPr>
        <w:ind w:firstLine="540"/>
        <w:jc w:val="both"/>
      </w:pPr>
      <w:r>
        <w:t>Il convient de rappeler que les années 70, dans la suite directe de Vatican II, ont vu la création de communautés religieuses dites « nouvelles », en ce sens que celles-ci étaient nouvellement créées et modifiaient dès lors le paysage</w:t>
      </w:r>
      <w:r w:rsidR="002A0AC9">
        <w:t xml:space="preserve"> religieux et ecclésial</w:t>
      </w:r>
      <w:r>
        <w:t>.</w:t>
      </w:r>
    </w:p>
    <w:p w14:paraId="1DC020E7" w14:textId="77777777" w:rsidR="00627A61" w:rsidRDefault="00627A61" w:rsidP="00FE30F7">
      <w:pPr>
        <w:ind w:firstLine="540"/>
        <w:jc w:val="both"/>
      </w:pPr>
      <w:r>
        <w:lastRenderedPageBreak/>
        <w:t>Ayant le statut d’instituts religieux, de groupements de fait ou d’associations loi 1901, ces communautés, pour nouvelles qu’elles</w:t>
      </w:r>
      <w:r w:rsidR="004102A7">
        <w:t xml:space="preserve"> fussent</w:t>
      </w:r>
      <w:r>
        <w:t>, ne contraignaient pas moins leurs me</w:t>
      </w:r>
      <w:r w:rsidR="002A0AC9">
        <w:t>mbres à renoncer à leur liberté.</w:t>
      </w:r>
    </w:p>
    <w:p w14:paraId="6EBAECD2" w14:textId="77777777" w:rsidR="00627A61" w:rsidRDefault="00627A61" w:rsidP="00FE30F7">
      <w:pPr>
        <w:ind w:firstLine="540"/>
        <w:jc w:val="both"/>
      </w:pPr>
    </w:p>
    <w:p w14:paraId="141C2941" w14:textId="77777777" w:rsidR="00627A61" w:rsidRDefault="00627A61" w:rsidP="00FE30F7">
      <w:pPr>
        <w:ind w:firstLine="540"/>
        <w:jc w:val="both"/>
      </w:pPr>
      <w:r>
        <w:t>Ces membres étaient engagés dans une activité essentiellement religieuse, impliquant une vie communautaire de type monastique, l’évêque du lieu en assurant le suivi (doctrine, mode de vie…).</w:t>
      </w:r>
    </w:p>
    <w:p w14:paraId="17676AEC" w14:textId="77777777" w:rsidR="00627A61" w:rsidRDefault="00627A61" w:rsidP="00FE30F7">
      <w:pPr>
        <w:ind w:firstLine="540"/>
        <w:jc w:val="both"/>
      </w:pPr>
    </w:p>
    <w:p w14:paraId="757D9E12" w14:textId="77777777" w:rsidR="00627A61" w:rsidRDefault="00627A61" w:rsidP="00FE30F7">
      <w:pPr>
        <w:ind w:firstLine="540"/>
        <w:jc w:val="both"/>
      </w:pPr>
      <w:r>
        <w:t>Que ces collectivités aient été</w:t>
      </w:r>
      <w:r w:rsidR="002A0AC9">
        <w:t>,</w:t>
      </w:r>
      <w:r>
        <w:t xml:space="preserve"> un temps</w:t>
      </w:r>
      <w:r w:rsidR="002A0AC9">
        <w:t>,</w:t>
      </w:r>
      <w:r>
        <w:t xml:space="preserve"> en « probation », le « label cultuel » ne leur étant attribué qu’au terme de fort lentes enquêtes canoniques, n’y change strictement rien.</w:t>
      </w:r>
    </w:p>
    <w:p w14:paraId="6F261D89" w14:textId="77777777" w:rsidR="00627A61" w:rsidRDefault="00627A61" w:rsidP="00FE30F7">
      <w:pPr>
        <w:ind w:firstLine="540"/>
        <w:jc w:val="both"/>
      </w:pPr>
    </w:p>
    <w:p w14:paraId="2447FA7F" w14:textId="77777777" w:rsidR="00627A61" w:rsidRDefault="00627A61" w:rsidP="00FE30F7">
      <w:pPr>
        <w:ind w:firstLine="540"/>
        <w:jc w:val="both"/>
      </w:pPr>
      <w:r>
        <w:t>Le fait est que les membres de ces collectivités vivaient, cependant, un indéniable engagement religieux.</w:t>
      </w:r>
    </w:p>
    <w:p w14:paraId="78619900" w14:textId="77777777" w:rsidR="00627A61" w:rsidRDefault="00627A61" w:rsidP="00FE30F7">
      <w:pPr>
        <w:ind w:firstLine="540"/>
        <w:jc w:val="both"/>
      </w:pPr>
    </w:p>
    <w:p w14:paraId="53377E0C" w14:textId="77777777" w:rsidR="00627A61" w:rsidRDefault="002A0AC9" w:rsidP="00FE30F7">
      <w:pPr>
        <w:ind w:firstLine="540"/>
        <w:jc w:val="both"/>
      </w:pPr>
      <w:r>
        <w:t>Rien ne peut</w:t>
      </w:r>
      <w:r w:rsidR="00627A61">
        <w:t xml:space="preserve"> justifier que l’affiliation de ces membres soit tributaire de l</w:t>
      </w:r>
      <w:r>
        <w:t xml:space="preserve">a lenteur typiquement canonique </w:t>
      </w:r>
      <w:r w:rsidR="004102A7">
        <w:t>et, partant, du bon vouloir d</w:t>
      </w:r>
      <w:r>
        <w:t>es autorités e</w:t>
      </w:r>
      <w:r w:rsidR="00627A61">
        <w:t>cclésiale</w:t>
      </w:r>
      <w:r>
        <w:t>s</w:t>
      </w:r>
      <w:r w:rsidR="00627A61">
        <w:t>.</w:t>
      </w:r>
    </w:p>
    <w:p w14:paraId="12EB85AD" w14:textId="77777777" w:rsidR="00627A61" w:rsidRDefault="00627A61" w:rsidP="00FE30F7">
      <w:pPr>
        <w:ind w:firstLine="540"/>
        <w:jc w:val="both"/>
      </w:pPr>
    </w:p>
    <w:p w14:paraId="7074063A" w14:textId="77777777" w:rsidR="00627A61" w:rsidRDefault="00627A61" w:rsidP="00FE30F7">
      <w:pPr>
        <w:ind w:firstLine="540"/>
        <w:jc w:val="both"/>
      </w:pPr>
      <w:r>
        <w:t>Dès lors</w:t>
      </w:r>
      <w:r w:rsidR="004102A7">
        <w:t>,</w:t>
      </w:r>
      <w:r>
        <w:t xml:space="preserve"> en effet</w:t>
      </w:r>
      <w:r w:rsidR="004102A7">
        <w:t>,</w:t>
      </w:r>
      <w:r>
        <w:t xml:space="preserve"> que la réalité de l’engagement est admise par le juge, et que l’affiliation est décidée</w:t>
      </w:r>
      <w:r w:rsidR="002A0AC9">
        <w:t xml:space="preserve"> en son principe</w:t>
      </w:r>
      <w:r>
        <w:t>, rien ne peut justifier qu’une distinction soit opérée entre deux périodes, selon la date d’attribution de tel ou tel statut purement canonique.</w:t>
      </w:r>
    </w:p>
    <w:p w14:paraId="2E1FCABE" w14:textId="77777777" w:rsidR="00627A61" w:rsidRDefault="00627A61" w:rsidP="00FE30F7">
      <w:pPr>
        <w:ind w:firstLine="540"/>
        <w:jc w:val="both"/>
      </w:pPr>
    </w:p>
    <w:p w14:paraId="14B1B59D" w14:textId="77777777" w:rsidR="00627A61" w:rsidRDefault="00627A61" w:rsidP="00FE30F7">
      <w:pPr>
        <w:ind w:firstLine="540"/>
        <w:jc w:val="both"/>
      </w:pPr>
      <w:r w:rsidRPr="004102A7">
        <w:rPr>
          <w:u w:val="single"/>
        </w:rPr>
        <w:t xml:space="preserve">Si la communauté religieuse en cause </w:t>
      </w:r>
      <w:r w:rsidRPr="004102A7">
        <w:rPr>
          <w:b/>
          <w:u w:val="single"/>
        </w:rPr>
        <w:t>demeure la même</w:t>
      </w:r>
      <w:r w:rsidRPr="004102A7">
        <w:rPr>
          <w:u w:val="single"/>
        </w:rPr>
        <w:t xml:space="preserve"> et que </w:t>
      </w:r>
      <w:r w:rsidRPr="004102A7">
        <w:rPr>
          <w:b/>
          <w:u w:val="single"/>
        </w:rPr>
        <w:t>nulle évolution notable en son sein ne peut être constatée</w:t>
      </w:r>
      <w:r w:rsidRPr="004102A7">
        <w:rPr>
          <w:u w:val="single"/>
        </w:rPr>
        <w:t>, une telle solution est proprement aberrante au regard du droit de la sécurité sociale</w:t>
      </w:r>
      <w:r>
        <w:t>.</w:t>
      </w:r>
    </w:p>
    <w:p w14:paraId="009112AB" w14:textId="77777777" w:rsidR="00627A61" w:rsidRDefault="00627A61" w:rsidP="00FE30F7">
      <w:pPr>
        <w:ind w:firstLine="540"/>
        <w:jc w:val="both"/>
      </w:pPr>
    </w:p>
    <w:p w14:paraId="5885DA4C" w14:textId="77777777" w:rsidR="00627A61" w:rsidRDefault="00627A61" w:rsidP="00FE30F7">
      <w:pPr>
        <w:ind w:firstLine="540"/>
        <w:jc w:val="both"/>
      </w:pPr>
      <w:r w:rsidRPr="004102A7">
        <w:rPr>
          <w:u w:val="single"/>
        </w:rPr>
        <w:t>Dès le début de son engagement religieux</w:t>
      </w:r>
      <w:r>
        <w:t xml:space="preserve">, le membre de cette communauté est en droit d’être affilié sans que les tribulations purement canoniques et administratives </w:t>
      </w:r>
      <w:r w:rsidRPr="00B336AE">
        <w:rPr>
          <w:u w:val="single"/>
        </w:rPr>
        <w:t>de cette seule communauté</w:t>
      </w:r>
      <w:r>
        <w:t xml:space="preserve"> ne puissent interférer avec ce statut social, lequel ne doit dépendre que du droit laïc et civil.</w:t>
      </w:r>
    </w:p>
    <w:p w14:paraId="22148DF3" w14:textId="77777777" w:rsidR="00627A61" w:rsidRDefault="00627A61" w:rsidP="00FE30F7">
      <w:pPr>
        <w:ind w:firstLine="540"/>
        <w:jc w:val="both"/>
      </w:pPr>
    </w:p>
    <w:p w14:paraId="09965748" w14:textId="77777777" w:rsidR="00627A61" w:rsidRDefault="003F216F" w:rsidP="00FE30F7">
      <w:pPr>
        <w:ind w:firstLine="540"/>
        <w:jc w:val="both"/>
      </w:pPr>
      <w:r>
        <w:t>Le « label cultuel » présentant ainsi de multiples degrés, il est exclu d’en faire dépendre le sort, et notamment l’affiliation, des membres.</w:t>
      </w:r>
    </w:p>
    <w:p w14:paraId="679F1AE1" w14:textId="77777777" w:rsidR="003F216F" w:rsidRDefault="003F216F" w:rsidP="00FE30F7">
      <w:pPr>
        <w:ind w:firstLine="540"/>
        <w:jc w:val="both"/>
      </w:pPr>
    </w:p>
    <w:p w14:paraId="5DD70CA4" w14:textId="77777777" w:rsidR="003F216F" w:rsidRDefault="003F216F" w:rsidP="00FE30F7">
      <w:pPr>
        <w:ind w:firstLine="540"/>
        <w:jc w:val="both"/>
      </w:pPr>
      <w:r>
        <w:t xml:space="preserve">Cela est d’autant plus vrai que </w:t>
      </w:r>
      <w:r w:rsidR="002A0AC9">
        <w:t xml:space="preserve">le terme </w:t>
      </w:r>
      <w:r>
        <w:t>« communautés nouvelles » ne rime aucunement avec laxisme et souplesse.</w:t>
      </w:r>
    </w:p>
    <w:p w14:paraId="1E0CE6CB" w14:textId="77777777" w:rsidR="003F216F" w:rsidRDefault="003F216F" w:rsidP="00FE30F7">
      <w:pPr>
        <w:ind w:firstLine="540"/>
        <w:jc w:val="both"/>
      </w:pPr>
    </w:p>
    <w:p w14:paraId="6FFEACD8" w14:textId="77777777" w:rsidR="003F216F" w:rsidRDefault="003F216F" w:rsidP="00FE30F7">
      <w:pPr>
        <w:ind w:firstLine="540"/>
        <w:jc w:val="both"/>
      </w:pPr>
      <w:r>
        <w:t>Il faut savoir</w:t>
      </w:r>
      <w:r w:rsidR="004102A7">
        <w:t>,</w:t>
      </w:r>
      <w:r>
        <w:t xml:space="preserve"> en effet</w:t>
      </w:r>
      <w:r w:rsidR="004102A7">
        <w:t>,</w:t>
      </w:r>
      <w:r>
        <w:t xml:space="preserve"> que l’entrave à la liberté des membres desdites communautés est au moins aussi caractérisée que pour les membres des congrégations </w:t>
      </w:r>
      <w:r w:rsidR="002A0AC9">
        <w:t xml:space="preserve">traditionnelles et </w:t>
      </w:r>
      <w:r>
        <w:t>séculaires (bénédictins ; capucins ; franciscains ; trappistes ; chartreux…).</w:t>
      </w:r>
    </w:p>
    <w:p w14:paraId="1839D607" w14:textId="77777777" w:rsidR="003F216F" w:rsidRDefault="003F216F" w:rsidP="00FE30F7">
      <w:pPr>
        <w:ind w:firstLine="540"/>
        <w:jc w:val="both"/>
      </w:pPr>
    </w:p>
    <w:p w14:paraId="7DD4923F" w14:textId="77777777" w:rsidR="003F216F" w:rsidRPr="004102A7" w:rsidRDefault="003F216F" w:rsidP="00FE30F7">
      <w:pPr>
        <w:ind w:firstLine="540"/>
        <w:jc w:val="both"/>
        <w:rPr>
          <w:b/>
        </w:rPr>
      </w:pPr>
      <w:r w:rsidRPr="004102A7">
        <w:rPr>
          <w:b/>
        </w:rPr>
        <w:t>L’exposant se permet ainsi de rappeler que la difficulté présentement posée est inédite.</w:t>
      </w:r>
    </w:p>
    <w:p w14:paraId="5EFB7492" w14:textId="77777777" w:rsidR="003F216F" w:rsidRDefault="003F216F" w:rsidP="00FE30F7">
      <w:pPr>
        <w:ind w:firstLine="540"/>
        <w:jc w:val="both"/>
      </w:pPr>
    </w:p>
    <w:p w14:paraId="6FB3DE47" w14:textId="77777777" w:rsidR="003F216F" w:rsidRDefault="003F216F" w:rsidP="00FE30F7">
      <w:pPr>
        <w:ind w:firstLine="540"/>
        <w:jc w:val="both"/>
      </w:pPr>
      <w:r>
        <w:t xml:space="preserve">Il ne s’agit pas, comme dans les précédentes affaires, de déterminer le </w:t>
      </w:r>
      <w:r w:rsidR="002A0AC9">
        <w:t>degré d’engagement du membre au</w:t>
      </w:r>
      <w:r>
        <w:t xml:space="preserve"> cours de telle ou</w:t>
      </w:r>
      <w:r w:rsidR="002A0AC9">
        <w:t xml:space="preserve"> telle période, notamment celle</w:t>
      </w:r>
      <w:r>
        <w:t xml:space="preserve"> précédant l’émission des vœux religieux.</w:t>
      </w:r>
    </w:p>
    <w:p w14:paraId="62633071" w14:textId="77777777" w:rsidR="003F216F" w:rsidRDefault="003F216F" w:rsidP="00FE30F7">
      <w:pPr>
        <w:ind w:firstLine="540"/>
        <w:jc w:val="both"/>
      </w:pPr>
    </w:p>
    <w:p w14:paraId="12465990" w14:textId="77777777" w:rsidR="00B82B7C" w:rsidRDefault="003F216F" w:rsidP="004102A7">
      <w:pPr>
        <w:ind w:firstLine="540"/>
        <w:jc w:val="both"/>
      </w:pPr>
      <w:r>
        <w:t xml:space="preserve">Il s’agit d’apprécier si le statut canonique </w:t>
      </w:r>
      <w:r w:rsidRPr="002A0AC9">
        <w:rPr>
          <w:u w:val="single"/>
        </w:rPr>
        <w:t>de la communauté religieuse</w:t>
      </w:r>
      <w:r>
        <w:t xml:space="preserve"> peut avoir un i</w:t>
      </w:r>
      <w:r w:rsidR="002A0AC9">
        <w:t>mpact sur le statut personnel de son</w:t>
      </w:r>
      <w:r>
        <w:t xml:space="preserve"> membre, et notamment la date de son affiliation, et ce</w:t>
      </w:r>
      <w:r w:rsidR="004102A7">
        <w:t>,</w:t>
      </w:r>
      <w:r>
        <w:t xml:space="preserve"> indépendamment du degré d’engagement de celui-ci.</w:t>
      </w:r>
    </w:p>
    <w:p w14:paraId="2FE69C1D" w14:textId="77777777" w:rsidR="00B82B7C" w:rsidRDefault="00B82B7C" w:rsidP="00B82B7C">
      <w:pPr>
        <w:ind w:firstLine="540"/>
        <w:jc w:val="both"/>
      </w:pPr>
      <w:r>
        <w:lastRenderedPageBreak/>
        <w:t xml:space="preserve">Or, il est difficile de comprendre en quoi l’attribution de tel ou tel statut purement canonique, à telle ou telle date, au cours de la vie </w:t>
      </w:r>
      <w:r w:rsidRPr="002A0AC9">
        <w:rPr>
          <w:u w:val="single"/>
        </w:rPr>
        <w:t>de la communauté</w:t>
      </w:r>
      <w:r>
        <w:t xml:space="preserve"> déjà créée, pourrait être déterminante.</w:t>
      </w:r>
    </w:p>
    <w:p w14:paraId="3CFFE438" w14:textId="77777777" w:rsidR="00B82B7C" w:rsidRDefault="00B82B7C" w:rsidP="00B82B7C">
      <w:pPr>
        <w:ind w:firstLine="540"/>
        <w:jc w:val="both"/>
      </w:pPr>
    </w:p>
    <w:p w14:paraId="3FE31076" w14:textId="77777777" w:rsidR="00B82B7C" w:rsidRDefault="00B82B7C" w:rsidP="00B82B7C">
      <w:pPr>
        <w:ind w:firstLine="540"/>
        <w:jc w:val="both"/>
      </w:pPr>
      <w:r>
        <w:t>Manifestement, la cour n’a pas su user à bon escient des divers concepts en la matière.</w:t>
      </w:r>
    </w:p>
    <w:p w14:paraId="04FB49B9" w14:textId="77777777" w:rsidR="00B82B7C" w:rsidRDefault="00B82B7C" w:rsidP="00B82B7C">
      <w:pPr>
        <w:ind w:firstLine="540"/>
        <w:jc w:val="both"/>
      </w:pPr>
    </w:p>
    <w:p w14:paraId="3748034B" w14:textId="77777777" w:rsidR="00B82B7C" w:rsidRDefault="00B82B7C" w:rsidP="00B82B7C">
      <w:pPr>
        <w:ind w:firstLine="540"/>
        <w:jc w:val="both"/>
      </w:pPr>
      <w:r>
        <w:t>Elle a, sans le dire expressément, confondu :</w:t>
      </w:r>
    </w:p>
    <w:p w14:paraId="60B319DA" w14:textId="77777777" w:rsidR="00B82B7C" w:rsidRDefault="00B82B7C" w:rsidP="00B82B7C">
      <w:pPr>
        <w:ind w:firstLine="540"/>
        <w:jc w:val="both"/>
      </w:pPr>
    </w:p>
    <w:p w14:paraId="51F3B695" w14:textId="77777777" w:rsidR="00B82B7C" w:rsidRDefault="00B82B7C" w:rsidP="00B82B7C">
      <w:pPr>
        <w:numPr>
          <w:ilvl w:val="0"/>
          <w:numId w:val="2"/>
        </w:numPr>
        <w:jc w:val="both"/>
      </w:pPr>
      <w:r>
        <w:t>la « congrégation religieuse » au sens du droit commun</w:t>
      </w:r>
    </w:p>
    <w:p w14:paraId="0DB04BAC" w14:textId="77777777" w:rsidR="00B82B7C" w:rsidRDefault="00B82B7C" w:rsidP="00B82B7C">
      <w:pPr>
        <w:numPr>
          <w:ilvl w:val="0"/>
          <w:numId w:val="2"/>
        </w:numPr>
        <w:jc w:val="both"/>
      </w:pPr>
      <w:r>
        <w:t xml:space="preserve">avec </w:t>
      </w:r>
      <w:proofErr w:type="gramStart"/>
      <w:r>
        <w:t>l’ «</w:t>
      </w:r>
      <w:proofErr w:type="gramEnd"/>
      <w:r>
        <w:t> association cultuelle » telle qu’envisagée par la loi de séparation de l’Eglise et de l’Etat de 1905.</w:t>
      </w:r>
    </w:p>
    <w:p w14:paraId="3F53BB49" w14:textId="77777777" w:rsidR="00B82B7C" w:rsidRDefault="00B82B7C" w:rsidP="00B82B7C">
      <w:pPr>
        <w:jc w:val="both"/>
      </w:pPr>
    </w:p>
    <w:p w14:paraId="0A44A309" w14:textId="77777777" w:rsidR="00B82B7C" w:rsidRDefault="00B82B7C" w:rsidP="00B82B7C">
      <w:pPr>
        <w:ind w:firstLine="540"/>
        <w:jc w:val="both"/>
      </w:pPr>
      <w:r>
        <w:t xml:space="preserve">Elle a </w:t>
      </w:r>
      <w:proofErr w:type="spellStart"/>
      <w:r w:rsidRPr="000B75C8">
        <w:rPr>
          <w:i/>
        </w:rPr>
        <w:t>a</w:t>
      </w:r>
      <w:proofErr w:type="spellEnd"/>
      <w:r w:rsidRPr="000B75C8">
        <w:rPr>
          <w:i/>
        </w:rPr>
        <w:t xml:space="preserve"> fortiori </w:t>
      </w:r>
      <w:r>
        <w:t>confondu :</w:t>
      </w:r>
    </w:p>
    <w:p w14:paraId="062F36A3" w14:textId="77777777" w:rsidR="00B82B7C" w:rsidRDefault="00B82B7C" w:rsidP="00B82B7C">
      <w:pPr>
        <w:ind w:firstLine="540"/>
        <w:jc w:val="both"/>
      </w:pPr>
    </w:p>
    <w:p w14:paraId="5C4FBEB0" w14:textId="77777777" w:rsidR="00B82B7C" w:rsidRDefault="00B82B7C" w:rsidP="00B82B7C">
      <w:pPr>
        <w:numPr>
          <w:ilvl w:val="0"/>
          <w:numId w:val="2"/>
        </w:numPr>
        <w:jc w:val="both"/>
      </w:pPr>
      <w:r>
        <w:t>cette association cultuelle</w:t>
      </w:r>
    </w:p>
    <w:p w14:paraId="7A535DF8" w14:textId="77777777" w:rsidR="00B82B7C" w:rsidRDefault="00B82B7C" w:rsidP="00B82B7C">
      <w:pPr>
        <w:numPr>
          <w:ilvl w:val="0"/>
          <w:numId w:val="2"/>
        </w:numPr>
        <w:jc w:val="both"/>
      </w:pPr>
      <w:r>
        <w:t>avec la congrégation ou la collectivité religieuse envisagée par l’article L. 382-15 du code de la sécurité sociale et qui doit être entendue de manière large.</w:t>
      </w:r>
    </w:p>
    <w:p w14:paraId="6B48F2D8" w14:textId="77777777" w:rsidR="00B82B7C" w:rsidRDefault="00B82B7C" w:rsidP="00B82B7C">
      <w:pPr>
        <w:jc w:val="both"/>
      </w:pPr>
    </w:p>
    <w:p w14:paraId="68993D21" w14:textId="77777777" w:rsidR="002A0AC9" w:rsidRDefault="002A0AC9" w:rsidP="00B82B7C">
      <w:pPr>
        <w:ind w:firstLine="540"/>
        <w:jc w:val="both"/>
      </w:pPr>
      <w:r>
        <w:t>Or, seule cette dernière notion devait, ici, être considérée.</w:t>
      </w:r>
    </w:p>
    <w:p w14:paraId="59CB1425" w14:textId="77777777" w:rsidR="002A0AC9" w:rsidRDefault="002A0AC9" w:rsidP="00B82B7C">
      <w:pPr>
        <w:ind w:firstLine="540"/>
        <w:jc w:val="both"/>
      </w:pPr>
    </w:p>
    <w:p w14:paraId="5ED0C4A1" w14:textId="77777777" w:rsidR="00B82B7C" w:rsidRDefault="00B82B7C" w:rsidP="00B82B7C">
      <w:pPr>
        <w:ind w:firstLine="540"/>
        <w:jc w:val="both"/>
      </w:pPr>
      <w:r>
        <w:t>Cela explique ce raisonnement basé sur la notion de culte, sur les rapports entre l’Etat français et les six cultes reconnus, sur le contenu de l’article 4 de la loi de 1905, sur l’importance de la reconnaissance statutaire par telle ou telle autorité religieuse de l’un des cultes reconnus.</w:t>
      </w:r>
    </w:p>
    <w:p w14:paraId="0A1431A1" w14:textId="77777777" w:rsidR="00B82B7C" w:rsidRDefault="00B82B7C" w:rsidP="00B82B7C">
      <w:pPr>
        <w:ind w:firstLine="540"/>
        <w:jc w:val="both"/>
      </w:pPr>
    </w:p>
    <w:p w14:paraId="43C0987F" w14:textId="77777777" w:rsidR="00B82B7C" w:rsidRDefault="00B82B7C" w:rsidP="00B82B7C">
      <w:pPr>
        <w:ind w:firstLine="540"/>
        <w:jc w:val="both"/>
      </w:pPr>
      <w:r>
        <w:t>L’arrêt attaqué encourt donc la censure.</w:t>
      </w:r>
    </w:p>
    <w:p w14:paraId="4EA72404" w14:textId="77777777" w:rsidR="00B82B7C" w:rsidRDefault="00B82B7C" w:rsidP="00B82B7C">
      <w:pPr>
        <w:ind w:firstLine="540"/>
        <w:jc w:val="both"/>
      </w:pPr>
    </w:p>
    <w:p w14:paraId="7D1D8C29" w14:textId="77777777" w:rsidR="00B82B7C" w:rsidRDefault="00B82B7C" w:rsidP="00B82B7C">
      <w:pPr>
        <w:ind w:firstLine="540"/>
        <w:jc w:val="both"/>
      </w:pPr>
      <w:r>
        <w:t>Ce d’autant plus que, ne constatant pas que, dans les faits, un changement de situation s’est produit à partir du moment où tel statut canonique a été attribué, le juge du fond n’a pu ju</w:t>
      </w:r>
      <w:r w:rsidR="004102A7">
        <w:t>stifier valablement sa décision (6</w:t>
      </w:r>
      <w:r w:rsidR="004102A7" w:rsidRPr="004102A7">
        <w:rPr>
          <w:vertAlign w:val="superscript"/>
        </w:rPr>
        <w:t>ème</w:t>
      </w:r>
      <w:r w:rsidR="004102A7">
        <w:t xml:space="preserve"> branche).</w:t>
      </w:r>
    </w:p>
    <w:p w14:paraId="7196F182" w14:textId="77777777" w:rsidR="00B82B7C" w:rsidRDefault="00B82B7C" w:rsidP="00B82B7C">
      <w:pPr>
        <w:ind w:firstLine="540"/>
        <w:jc w:val="both"/>
      </w:pPr>
    </w:p>
    <w:p w14:paraId="46BC08BA" w14:textId="77777777" w:rsidR="002F6E05" w:rsidRDefault="00B82B7C" w:rsidP="002F6E05">
      <w:pPr>
        <w:ind w:firstLine="540"/>
        <w:jc w:val="both"/>
      </w:pPr>
      <w:r>
        <w:t>Cela montre bien, encore une fois, que la cour a ig</w:t>
      </w:r>
      <w:r w:rsidR="004102A7">
        <w:t>noré que seul comptaient la réalité et la nature de l’</w:t>
      </w:r>
      <w:r>
        <w:t>engagement religieux de l’assuré social.</w:t>
      </w:r>
    </w:p>
    <w:p w14:paraId="36A7B531" w14:textId="77777777" w:rsidR="002F6E05" w:rsidRDefault="002F6E05" w:rsidP="002F6E05">
      <w:pPr>
        <w:ind w:firstLine="540"/>
        <w:jc w:val="both"/>
      </w:pPr>
    </w:p>
    <w:p w14:paraId="5ADEE8AC" w14:textId="77777777" w:rsidR="002F6E05" w:rsidRDefault="002F6E05" w:rsidP="002F6E05">
      <w:pPr>
        <w:ind w:firstLine="540"/>
        <w:jc w:val="both"/>
      </w:pPr>
      <w:r>
        <w:t>Fort justement, le premier juge avait retenu (jugement, p. 4, al. 5 et p. 5, al. 6) que seul comptait l’engagement religieux de M. Descombas, peu important l’absence durable de reconnaissance cultuelle de l’association Communauté des Béatitudes, fondement contraire à la nature civile de l’engagement réciproque passé entre M. Descombas et cette communauté.</w:t>
      </w:r>
    </w:p>
    <w:p w14:paraId="34910074" w14:textId="77777777" w:rsidR="002F6E05" w:rsidRDefault="002F6E05" w:rsidP="002F6E05">
      <w:pPr>
        <w:ind w:firstLine="540"/>
        <w:jc w:val="both"/>
      </w:pPr>
    </w:p>
    <w:p w14:paraId="39CB202F" w14:textId="77777777" w:rsidR="002F6E05" w:rsidRDefault="002F6E05" w:rsidP="002F6E05">
      <w:pPr>
        <w:ind w:firstLine="540"/>
        <w:jc w:val="both"/>
      </w:pPr>
      <w:r>
        <w:t xml:space="preserve">Tel était le raisonnement devant être mené pour se conformer à la jurisprudence de la Cour de cassation. </w:t>
      </w:r>
    </w:p>
    <w:p w14:paraId="409E6DD6" w14:textId="77777777" w:rsidR="00B82B7C" w:rsidRDefault="00B82B7C" w:rsidP="002F6E05">
      <w:pPr>
        <w:jc w:val="both"/>
      </w:pPr>
    </w:p>
    <w:p w14:paraId="18E87E84" w14:textId="77777777" w:rsidR="00B82B7C" w:rsidRDefault="00B82B7C" w:rsidP="00B82B7C">
      <w:pPr>
        <w:ind w:firstLine="540"/>
        <w:jc w:val="both"/>
      </w:pPr>
      <w:r w:rsidRPr="002A0AC9">
        <w:rPr>
          <w:b/>
        </w:rPr>
        <w:t>II-</w:t>
      </w:r>
      <w:r>
        <w:t xml:space="preserve"> </w:t>
      </w:r>
      <w:r w:rsidR="00690D7C">
        <w:rPr>
          <w:u w:val="single"/>
        </w:rPr>
        <w:t>S’agissant</w:t>
      </w:r>
      <w:r w:rsidRPr="002A0AC9">
        <w:rPr>
          <w:u w:val="single"/>
        </w:rPr>
        <w:t xml:space="preserve"> du premier moyen, pris en ses quatrième et cinquième branches</w:t>
      </w:r>
      <w:r>
        <w:t xml:space="preserve">, il doit être </w:t>
      </w:r>
      <w:r w:rsidR="00B336AE">
        <w:t xml:space="preserve">précisé </w:t>
      </w:r>
      <w:r>
        <w:t xml:space="preserve">que, tout récemment encore, le </w:t>
      </w:r>
      <w:r w:rsidRPr="001B048A">
        <w:t>14 mars 2019</w:t>
      </w:r>
      <w:r>
        <w:t>, la Cour de cassation a censuré la cour d’appel ne s’étant pas prononcée sur les éléments de preuve produits, rappelant que les juges du fond ne peuvent accueillir ou rejeter les demandes dont ils sont saisis sans examiner tous les éléments de preuve qui leur sont soumis par les parties au soutien de leurs prétentions (</w:t>
      </w:r>
      <w:proofErr w:type="spellStart"/>
      <w:r>
        <w:t>Civ</w:t>
      </w:r>
      <w:proofErr w:type="spellEnd"/>
      <w:r>
        <w:t>. 3, 14 mars 2019, pourvoi n° 18-12.326, inédit).</w:t>
      </w:r>
    </w:p>
    <w:p w14:paraId="2A4A4447" w14:textId="77777777" w:rsidR="00B82B7C" w:rsidRDefault="00B82B7C" w:rsidP="00B82B7C">
      <w:pPr>
        <w:ind w:firstLine="540"/>
        <w:jc w:val="both"/>
      </w:pPr>
    </w:p>
    <w:p w14:paraId="7E2A25B7" w14:textId="77777777" w:rsidR="00B82B7C" w:rsidRDefault="00B82B7C" w:rsidP="00B82B7C">
      <w:pPr>
        <w:ind w:firstLine="540"/>
        <w:jc w:val="both"/>
      </w:pPr>
      <w:r>
        <w:lastRenderedPageBreak/>
        <w:t>Il y a ainsi bel et bien une obligation étant faite au juge de se prononcer sur tous les éléments de preuve fournis par les parties au soutien de leurs prétentions (Soc., 6 mars 2019, pourvoi n° 17-20.118, inédit ; Soc., 20 févr. 2019, pourvoi n° 18-10.640).</w:t>
      </w:r>
    </w:p>
    <w:p w14:paraId="31F5DA16" w14:textId="77777777" w:rsidR="00B336AE" w:rsidRDefault="00B336AE" w:rsidP="00B82B7C">
      <w:pPr>
        <w:ind w:firstLine="540"/>
        <w:jc w:val="both"/>
      </w:pPr>
    </w:p>
    <w:p w14:paraId="3FBC5A87" w14:textId="77777777" w:rsidR="00B336AE" w:rsidRDefault="00B336AE" w:rsidP="00B82B7C">
      <w:pPr>
        <w:ind w:firstLine="540"/>
        <w:jc w:val="both"/>
      </w:pPr>
      <w:r>
        <w:t>Cette exigence doit ainsi être pleinement considérée et mise en perspective avec le principe en vertu duquel le juge n’est pas tenu de s’expliquer sur les éléments de preuve qu’il décide d’écarter.</w:t>
      </w:r>
    </w:p>
    <w:p w14:paraId="37E9D365" w14:textId="77777777" w:rsidR="004102A7" w:rsidRDefault="004102A7" w:rsidP="00B82B7C">
      <w:pPr>
        <w:ind w:firstLine="540"/>
        <w:jc w:val="both"/>
      </w:pPr>
    </w:p>
    <w:p w14:paraId="205FA82E" w14:textId="77777777" w:rsidR="004102A7" w:rsidRDefault="004102A7" w:rsidP="00B82B7C">
      <w:pPr>
        <w:ind w:firstLine="540"/>
        <w:jc w:val="both"/>
      </w:pPr>
      <w:r>
        <w:t>Or, dans un dossier aussi sensible que celui présentement en cause, afférent à l’affiliation d’un assuré social, ce dernier est en droit d’attendre de la Cour régulatrice qu’elle exige du juge du fond un examen de tous les éléments de preuve de nature à prouver que les conditions de l’affiliation étaient réunies à une date antérieure à celle retenue.</w:t>
      </w:r>
    </w:p>
    <w:p w14:paraId="10C3A210" w14:textId="77777777" w:rsidR="003F216F" w:rsidRDefault="003F216F" w:rsidP="00B82B7C">
      <w:pPr>
        <w:jc w:val="both"/>
      </w:pPr>
    </w:p>
    <w:p w14:paraId="3C2CFFE0" w14:textId="77777777" w:rsidR="006E52D1" w:rsidRPr="0055784B" w:rsidRDefault="00E072FA" w:rsidP="006E52D1">
      <w:pPr>
        <w:ind w:firstLine="540"/>
        <w:jc w:val="both"/>
        <w:rPr>
          <w:u w:val="single"/>
        </w:rPr>
      </w:pPr>
      <w:r w:rsidRPr="00A449AB">
        <w:rPr>
          <w:b/>
        </w:rPr>
        <w:t>II</w:t>
      </w:r>
      <w:r w:rsidR="00B82B7C" w:rsidRPr="00A449AB">
        <w:rPr>
          <w:b/>
        </w:rPr>
        <w:t>I</w:t>
      </w:r>
      <w:r w:rsidRPr="00A449AB">
        <w:rPr>
          <w:b/>
        </w:rPr>
        <w:t>-</w:t>
      </w:r>
      <w:r>
        <w:t xml:space="preserve"> </w:t>
      </w:r>
      <w:r w:rsidR="00330015" w:rsidRPr="00E072FA">
        <w:rPr>
          <w:u w:val="single"/>
        </w:rPr>
        <w:t>S’agissant du deuxième moyen</w:t>
      </w:r>
      <w:r w:rsidR="00330015">
        <w:t xml:space="preserve">, </w:t>
      </w:r>
      <w:r w:rsidR="006E52D1">
        <w:t xml:space="preserve">il a déjà été amplement exposé </w:t>
      </w:r>
      <w:r>
        <w:t xml:space="preserve">que </w:t>
      </w:r>
      <w:r w:rsidRPr="00E072FA">
        <w:rPr>
          <w:u w:val="single"/>
        </w:rPr>
        <w:t>doit être rejeté</w:t>
      </w:r>
      <w:r w:rsidR="006E52D1" w:rsidRPr="0055784B">
        <w:rPr>
          <w:u w:val="single"/>
        </w:rPr>
        <w:t xml:space="preserve"> le postulat erroné en vertu duquel le paiement effectif des cotisations est nécessaire à la validation judiciaire des trimestres litigieux.</w:t>
      </w:r>
    </w:p>
    <w:p w14:paraId="256119D4" w14:textId="77777777" w:rsidR="006E52D1" w:rsidRDefault="006E52D1" w:rsidP="006E52D1">
      <w:pPr>
        <w:ind w:firstLine="540"/>
        <w:jc w:val="both"/>
      </w:pPr>
    </w:p>
    <w:p w14:paraId="1928B19C" w14:textId="77777777" w:rsidR="006E52D1" w:rsidRDefault="006E52D1" w:rsidP="006E52D1">
      <w:pPr>
        <w:ind w:firstLine="540"/>
        <w:jc w:val="both"/>
      </w:pPr>
      <w:r>
        <w:t xml:space="preserve">Il </w:t>
      </w:r>
      <w:r w:rsidR="00E072FA">
        <w:t xml:space="preserve">est nécessaire de redire </w:t>
      </w:r>
      <w:r>
        <w:t xml:space="preserve">ici que, par arrêt du </w:t>
      </w:r>
      <w:r w:rsidRPr="00E072FA">
        <w:rPr>
          <w:b/>
        </w:rPr>
        <w:t>9 novembre 2017</w:t>
      </w:r>
      <w:r>
        <w:t xml:space="preserve"> (</w:t>
      </w:r>
      <w:proofErr w:type="spellStart"/>
      <w:r>
        <w:t>Civ</w:t>
      </w:r>
      <w:proofErr w:type="spellEnd"/>
      <w:r>
        <w:t xml:space="preserve">. 2, </w:t>
      </w:r>
      <w:r w:rsidRPr="00E072FA">
        <w:rPr>
          <w:b/>
        </w:rPr>
        <w:t>9 nov. 2017</w:t>
      </w:r>
      <w:r>
        <w:t xml:space="preserve">, pourvoi n° 16-22.016, inédit), </w:t>
      </w:r>
      <w:r w:rsidR="00E072FA">
        <w:t>la Cour de cassation a rejeté le</w:t>
      </w:r>
      <w:r>
        <w:t xml:space="preserve"> moyen </w:t>
      </w:r>
      <w:r w:rsidR="00E072FA">
        <w:t>produit par la CAVIMAC et pris</w:t>
      </w:r>
      <w:r>
        <w:t xml:space="preserve"> du déf</w:t>
      </w:r>
      <w:r w:rsidR="00E072FA">
        <w:t>aut de paiement des cotisations.</w:t>
      </w:r>
    </w:p>
    <w:p w14:paraId="49326E1C" w14:textId="77777777" w:rsidR="00E072FA" w:rsidRDefault="00E072FA" w:rsidP="006E52D1">
      <w:pPr>
        <w:ind w:firstLine="540"/>
        <w:jc w:val="both"/>
      </w:pPr>
    </w:p>
    <w:p w14:paraId="2EB70A1B" w14:textId="77777777" w:rsidR="00E072FA" w:rsidRDefault="006E52D1" w:rsidP="00E072FA">
      <w:pPr>
        <w:ind w:firstLine="540"/>
        <w:jc w:val="both"/>
      </w:pPr>
      <w:r>
        <w:t>Et elle l’a fait sans même y répondre spécialement, tant sa valeur était contestable.</w:t>
      </w:r>
    </w:p>
    <w:p w14:paraId="3F0B70CB" w14:textId="77777777" w:rsidR="00E072FA" w:rsidRDefault="00E072FA" w:rsidP="00E072FA">
      <w:pPr>
        <w:ind w:firstLine="540"/>
        <w:jc w:val="both"/>
      </w:pPr>
    </w:p>
    <w:p w14:paraId="34F3046C" w14:textId="77777777" w:rsidR="00E072FA" w:rsidRDefault="00C0071A" w:rsidP="00E072FA">
      <w:pPr>
        <w:ind w:firstLine="540"/>
        <w:jc w:val="both"/>
      </w:pPr>
      <w:r>
        <w:t>Et il est remarquable que, p</w:t>
      </w:r>
      <w:r w:rsidR="00E072FA">
        <w:t xml:space="preserve">ar ce même arrêt, la Cour, </w:t>
      </w:r>
      <w:r w:rsidR="00E072FA" w:rsidRPr="00C0071A">
        <w:rPr>
          <w:u w:val="single"/>
        </w:rPr>
        <w:t>statuant sur le pourvoi incident formé par l’assuré social</w:t>
      </w:r>
      <w:r>
        <w:t>, a censuré la cour d’appel pour a</w:t>
      </w:r>
      <w:r w:rsidR="00E072FA">
        <w:t>voir condamné la CAVIMAC à affilier celui-ci « </w:t>
      </w:r>
      <w:r w:rsidR="00E072FA" w:rsidRPr="00C0071A">
        <w:rPr>
          <w:i/>
        </w:rPr>
        <w:t>à titre gratuit</w:t>
      </w:r>
      <w:r w:rsidR="00E072FA">
        <w:t> »</w:t>
      </w:r>
      <w:r>
        <w:t>,</w:t>
      </w:r>
      <w:r w:rsidR="00E072FA">
        <w:t xml:space="preserve"> faute de cotisations versées.</w:t>
      </w:r>
    </w:p>
    <w:p w14:paraId="69FD738E" w14:textId="77777777" w:rsidR="00E072FA" w:rsidRDefault="00E072FA" w:rsidP="00E072FA">
      <w:pPr>
        <w:ind w:firstLine="540"/>
        <w:jc w:val="both"/>
      </w:pPr>
    </w:p>
    <w:p w14:paraId="3B470400" w14:textId="77777777" w:rsidR="00E072FA" w:rsidRDefault="00E072FA" w:rsidP="00E072FA">
      <w:pPr>
        <w:ind w:firstLine="540"/>
        <w:jc w:val="both"/>
      </w:pPr>
      <w:r>
        <w:t xml:space="preserve">La cour ne pouvait en effet statuer ainsi tandis que l’assuré poursuivait la condamnation de la CAVIMAC à </w:t>
      </w:r>
      <w:r w:rsidRPr="00B82B7C">
        <w:rPr>
          <w:b/>
          <w:u w:val="single"/>
        </w:rPr>
        <w:t>assumer</w:t>
      </w:r>
      <w:r>
        <w:t xml:space="preserve"> le règlement des cotisations afférentes à la période litigieuse.</w:t>
      </w:r>
    </w:p>
    <w:p w14:paraId="2E713FAE" w14:textId="77777777" w:rsidR="00A81169" w:rsidRDefault="00A81169" w:rsidP="00E072FA">
      <w:pPr>
        <w:ind w:firstLine="540"/>
        <w:jc w:val="both"/>
      </w:pPr>
    </w:p>
    <w:p w14:paraId="49A4BB38" w14:textId="77777777" w:rsidR="00537830" w:rsidRPr="00C0071A" w:rsidRDefault="00537830" w:rsidP="00537830">
      <w:pPr>
        <w:ind w:firstLine="540"/>
        <w:jc w:val="both"/>
        <w:rPr>
          <w:b/>
        </w:rPr>
      </w:pPr>
      <w:r w:rsidRPr="00C0071A">
        <w:rPr>
          <w:b/>
        </w:rPr>
        <w:t xml:space="preserve">L’exposant ne comprend donc pas que la cour d’appel soit présentement considérée comme étant légitime à subordonner son affiliation à la formulation d’une demande en condamnation </w:t>
      </w:r>
      <w:r w:rsidRPr="00C0071A">
        <w:rPr>
          <w:b/>
          <w:u w:val="single"/>
        </w:rPr>
        <w:t>de la congrégation</w:t>
      </w:r>
      <w:r w:rsidRPr="00C0071A">
        <w:rPr>
          <w:b/>
        </w:rPr>
        <w:t xml:space="preserve"> au paiement des cotisations.</w:t>
      </w:r>
    </w:p>
    <w:p w14:paraId="4FAF3859" w14:textId="77777777" w:rsidR="00537830" w:rsidRDefault="00537830" w:rsidP="00537830">
      <w:pPr>
        <w:ind w:firstLine="540"/>
        <w:jc w:val="both"/>
      </w:pPr>
    </w:p>
    <w:p w14:paraId="1011827B" w14:textId="77777777" w:rsidR="00537830" w:rsidRDefault="00537830" w:rsidP="00537830">
      <w:pPr>
        <w:ind w:firstLine="540"/>
        <w:jc w:val="both"/>
      </w:pPr>
      <w:r>
        <w:t>Fort justement, M. Descombas, en cause d’appel, dans le dispositif de ses conclusions, a demandé :</w:t>
      </w:r>
    </w:p>
    <w:p w14:paraId="0AC75B7D" w14:textId="77777777" w:rsidR="00537830" w:rsidRDefault="00537830" w:rsidP="00537830">
      <w:pPr>
        <w:ind w:firstLine="540"/>
        <w:jc w:val="both"/>
      </w:pPr>
    </w:p>
    <w:p w14:paraId="1D0D83BC" w14:textId="77777777" w:rsidR="00537830" w:rsidRDefault="00537830" w:rsidP="00537830">
      <w:pPr>
        <w:ind w:firstLine="540"/>
        <w:jc w:val="both"/>
      </w:pPr>
      <w:r>
        <w:t>« </w:t>
      </w:r>
      <w:r w:rsidRPr="00C84511">
        <w:rPr>
          <w:i/>
        </w:rPr>
        <w:t>Dire que la CAVIMAC a commis une faute et n’a pas respecté ses obligations légales en refusant de m’affilier et d’</w:t>
      </w:r>
      <w:r>
        <w:rPr>
          <w:i/>
        </w:rPr>
        <w:t>appeler les cotisations, en violation notamment des articles L. 721-</w:t>
      </w:r>
      <w:smartTag w:uri="urn:schemas-microsoft-com:office:smarttags" w:element="metricconverter">
        <w:smartTagPr>
          <w:attr w:name="ProductID" w:val="1, L"/>
        </w:smartTagPr>
        <w:r>
          <w:rPr>
            <w:i/>
          </w:rPr>
          <w:t>1, L</w:t>
        </w:r>
      </w:smartTag>
      <w:r>
        <w:rPr>
          <w:i/>
        </w:rPr>
        <w:t>. 721-2 et R. 381-57 CSS (L 382-</w:t>
      </w:r>
      <w:smartTag w:uri="urn:schemas-microsoft-com:office:smarttags" w:element="metricconverter">
        <w:smartTagPr>
          <w:attr w:name="ProductID" w:val="15, L"/>
        </w:smartTagPr>
        <w:r>
          <w:rPr>
            <w:i/>
          </w:rPr>
          <w:t>15, L</w:t>
        </w:r>
      </w:smartTag>
      <w:r>
        <w:rPr>
          <w:i/>
        </w:rPr>
        <w:t xml:space="preserve"> 382-17, R 382-84 al. 3) et qu’</w:t>
      </w:r>
      <w:r w:rsidRPr="00E072FA">
        <w:rPr>
          <w:i/>
          <w:u w:val="single"/>
        </w:rPr>
        <w:t xml:space="preserve">il lui incombe de recouvrer les arriérés des cotisations ou, à défaut, de les </w:t>
      </w:r>
      <w:r w:rsidRPr="00E072FA">
        <w:rPr>
          <w:b/>
          <w:i/>
          <w:u w:val="single"/>
        </w:rPr>
        <w:t>assumer</w:t>
      </w:r>
      <w:r w:rsidRPr="00E072FA">
        <w:rPr>
          <w:i/>
          <w:u w:val="single"/>
        </w:rPr>
        <w:t xml:space="preserve"> en réparation du manquement à ses obligations légales conformément aux dispositions des articles 1240 et 1241 du code civil</w:t>
      </w:r>
      <w:r>
        <w:rPr>
          <w:i/>
        </w:rPr>
        <w:t> </w:t>
      </w:r>
      <w:r w:rsidRPr="00C84511">
        <w:t>».</w:t>
      </w:r>
    </w:p>
    <w:p w14:paraId="2A83750D" w14:textId="77777777" w:rsidR="00537830" w:rsidRDefault="00537830" w:rsidP="00537830">
      <w:pPr>
        <w:ind w:firstLine="540"/>
        <w:jc w:val="both"/>
      </w:pPr>
    </w:p>
    <w:p w14:paraId="102E3E94" w14:textId="77777777" w:rsidR="00537830" w:rsidRPr="00B82B7C" w:rsidRDefault="00537830" w:rsidP="00537830">
      <w:pPr>
        <w:ind w:firstLine="540"/>
        <w:jc w:val="both"/>
        <w:rPr>
          <w:b/>
        </w:rPr>
      </w:pPr>
      <w:r w:rsidRPr="00B82B7C">
        <w:rPr>
          <w:b/>
        </w:rPr>
        <w:t>Toutes les conditions étaient ainsi remplies pour que la cour puisse valider les trimestres litigieux sans avoir égard pour l’absence de paiement des cotisations y afférentes.</w:t>
      </w:r>
    </w:p>
    <w:p w14:paraId="592378D9" w14:textId="77777777" w:rsidR="00537830" w:rsidRDefault="00537830" w:rsidP="00537830">
      <w:pPr>
        <w:jc w:val="both"/>
      </w:pPr>
    </w:p>
    <w:p w14:paraId="40E008CE" w14:textId="77777777" w:rsidR="00A81169" w:rsidRDefault="00537830" w:rsidP="00E072FA">
      <w:pPr>
        <w:ind w:firstLine="540"/>
        <w:jc w:val="both"/>
      </w:pPr>
      <w:r>
        <w:lastRenderedPageBreak/>
        <w:t>Ceci étant, l</w:t>
      </w:r>
      <w:r w:rsidR="00A81169">
        <w:t xml:space="preserve">a validation à titre gratuit est formellement refusée par la Cour de cassation en ce sens que </w:t>
      </w:r>
      <w:r w:rsidR="00A81169" w:rsidRPr="00C0071A">
        <w:rPr>
          <w:u w:val="single"/>
        </w:rPr>
        <w:t>la validation doit être pleine et entière peu important la question du paiement effectif des cotisations afférentes, paiement qui, par hypothèse, n’est pas survenu</w:t>
      </w:r>
      <w:r w:rsidR="00A81169">
        <w:t>.</w:t>
      </w:r>
    </w:p>
    <w:p w14:paraId="6DBE96DB" w14:textId="77777777" w:rsidR="00537830" w:rsidRDefault="00537830" w:rsidP="00E072FA">
      <w:pPr>
        <w:ind w:firstLine="540"/>
        <w:jc w:val="both"/>
      </w:pPr>
    </w:p>
    <w:p w14:paraId="43AE4F76" w14:textId="77777777" w:rsidR="00537830" w:rsidRDefault="00537830" w:rsidP="00537830">
      <w:pPr>
        <w:ind w:right="113" w:firstLine="540"/>
        <w:jc w:val="both"/>
      </w:pPr>
      <w:r>
        <w:t>Au visa des articles L. 382-27 dans sa rédaction alors applicable, D. 721-9 et D. 721-11 dans leur rédaction en vigueur au 31 décembre 1997, la Cour de cassation décide que, même si elles n’avaient pas donné lieu à cotisations, les périodes d’activité religieuse antérieures au 1</w:t>
      </w:r>
      <w:r w:rsidRPr="00771B36">
        <w:rPr>
          <w:vertAlign w:val="superscript"/>
        </w:rPr>
        <w:t>er</w:t>
      </w:r>
      <w:r>
        <w:t xml:space="preserve"> janvier 1979 – date d’institution du régime des cultes -, régulièrement validées, étaient assimilées à des périodes cotisées pour l’ouverture des droits.</w:t>
      </w:r>
    </w:p>
    <w:p w14:paraId="112B3E1B" w14:textId="77777777" w:rsidR="00537830" w:rsidRDefault="00537830" w:rsidP="00537830">
      <w:pPr>
        <w:ind w:right="113" w:firstLine="540"/>
        <w:jc w:val="both"/>
      </w:pPr>
    </w:p>
    <w:p w14:paraId="42FA5C4A" w14:textId="77777777" w:rsidR="00537830" w:rsidRPr="00042350" w:rsidRDefault="00537830" w:rsidP="00537830">
      <w:pPr>
        <w:ind w:firstLine="540"/>
        <w:jc w:val="both"/>
        <w:rPr>
          <w:color w:val="292526"/>
          <w:lang w:eastAsia="fr-FR"/>
        </w:rPr>
      </w:pPr>
      <w:r w:rsidRPr="00042350">
        <w:rPr>
          <w:color w:val="292526"/>
          <w:lang w:eastAsia="fr-FR"/>
        </w:rPr>
        <w:t>La Cour de cassation l’a décidé tout d’abord, dans un arrêt de sa deuxième chambre civile du 7 novembre 2013 (pourvoi n° 12-24.466, inédit).</w:t>
      </w:r>
    </w:p>
    <w:p w14:paraId="19B34B7E" w14:textId="77777777" w:rsidR="00537830" w:rsidRPr="00042350" w:rsidRDefault="00537830" w:rsidP="00537830">
      <w:pPr>
        <w:ind w:firstLine="540"/>
        <w:jc w:val="both"/>
        <w:rPr>
          <w:color w:val="292526"/>
          <w:lang w:eastAsia="fr-FR"/>
        </w:rPr>
      </w:pPr>
    </w:p>
    <w:p w14:paraId="0E63D4A1" w14:textId="77777777" w:rsidR="00537830" w:rsidRPr="00042350" w:rsidRDefault="00537830" w:rsidP="00537830">
      <w:pPr>
        <w:ind w:firstLine="540"/>
        <w:jc w:val="both"/>
        <w:rPr>
          <w:color w:val="292526"/>
          <w:lang w:eastAsia="fr-FR"/>
        </w:rPr>
      </w:pPr>
      <w:r w:rsidRPr="00042350">
        <w:rPr>
          <w:color w:val="292526"/>
          <w:lang w:eastAsia="fr-FR"/>
        </w:rPr>
        <w:t>A ainsi été censurée la Cour d’appel d’Angers pour avoir rejeté la demande d’un ancien religieux tendant à obtenir la prise en compte, par assimilation à des trimestres cotisés, des trimestres accomplis avant le 1</w:t>
      </w:r>
      <w:r w:rsidRPr="00042350">
        <w:rPr>
          <w:color w:val="292526"/>
          <w:vertAlign w:val="superscript"/>
          <w:lang w:eastAsia="fr-FR"/>
        </w:rPr>
        <w:t>er</w:t>
      </w:r>
      <w:r w:rsidRPr="00042350">
        <w:rPr>
          <w:color w:val="292526"/>
          <w:lang w:eastAsia="fr-FR"/>
        </w:rPr>
        <w:t xml:space="preserve"> janvier 1979. </w:t>
      </w:r>
    </w:p>
    <w:p w14:paraId="26E0CC47" w14:textId="77777777" w:rsidR="00537830" w:rsidRPr="00042350" w:rsidRDefault="00537830" w:rsidP="00537830">
      <w:pPr>
        <w:ind w:firstLine="540"/>
        <w:jc w:val="both"/>
        <w:rPr>
          <w:color w:val="292526"/>
          <w:lang w:eastAsia="fr-FR"/>
        </w:rPr>
      </w:pPr>
    </w:p>
    <w:p w14:paraId="19098494" w14:textId="77777777" w:rsidR="00537830" w:rsidRPr="00042350" w:rsidRDefault="00537830" w:rsidP="00537830">
      <w:pPr>
        <w:ind w:firstLine="540"/>
        <w:jc w:val="both"/>
        <w:rPr>
          <w:rStyle w:val="lev"/>
          <w:b w:val="0"/>
        </w:rPr>
      </w:pPr>
      <w:r>
        <w:rPr>
          <w:color w:val="292526"/>
          <w:lang w:eastAsia="fr-FR"/>
        </w:rPr>
        <w:t xml:space="preserve">Cette analyse a été </w:t>
      </w:r>
      <w:r w:rsidRPr="00042350">
        <w:rPr>
          <w:color w:val="292526"/>
          <w:lang w:eastAsia="fr-FR"/>
        </w:rPr>
        <w:t xml:space="preserve">confirmée par un nouvel arrêt en date du 18 décembre 2014 (pourvoi n° </w:t>
      </w:r>
      <w:r w:rsidRPr="00042350">
        <w:rPr>
          <w:rStyle w:val="lev"/>
          <w:b w:val="0"/>
        </w:rPr>
        <w:t>12-22.624, inédit).</w:t>
      </w:r>
    </w:p>
    <w:p w14:paraId="1D2FF1DE" w14:textId="77777777" w:rsidR="00537830" w:rsidRPr="00042350" w:rsidRDefault="00537830" w:rsidP="00537830">
      <w:pPr>
        <w:ind w:firstLine="540"/>
        <w:jc w:val="both"/>
        <w:rPr>
          <w:rStyle w:val="lev"/>
          <w:b w:val="0"/>
        </w:rPr>
      </w:pPr>
    </w:p>
    <w:p w14:paraId="535E8BCB" w14:textId="77777777" w:rsidR="00537830" w:rsidRPr="00EC5EFC" w:rsidRDefault="00537830" w:rsidP="00537830">
      <w:pPr>
        <w:ind w:firstLine="540"/>
        <w:jc w:val="both"/>
        <w:rPr>
          <w:b/>
          <w:color w:val="292526"/>
          <w:lang w:eastAsia="fr-FR"/>
        </w:rPr>
      </w:pPr>
      <w:r w:rsidRPr="00971E37">
        <w:rPr>
          <w:rStyle w:val="lev"/>
          <w:b w:val="0"/>
        </w:rPr>
        <w:t xml:space="preserve">Et, le </w:t>
      </w:r>
      <w:r w:rsidRPr="00042350">
        <w:rPr>
          <w:rStyle w:val="lev"/>
          <w:b w:val="0"/>
        </w:rPr>
        <w:t>6 novembre 2014</w:t>
      </w:r>
      <w:r>
        <w:rPr>
          <w:rStyle w:val="lev"/>
        </w:rPr>
        <w:t xml:space="preserve"> </w:t>
      </w:r>
      <w:r w:rsidRPr="00971E37">
        <w:rPr>
          <w:rStyle w:val="lev"/>
          <w:b w:val="0"/>
        </w:rPr>
        <w:t>(pourvoi n° 13-17.367), la Cour de cassation a déclaré non admis le pourvoi formé par la CAVIMAC contre un arrêt de la Cour d’appel de Lyon ayant</w:t>
      </w:r>
      <w:r>
        <w:rPr>
          <w:rStyle w:val="lev"/>
        </w:rPr>
        <w:t xml:space="preserve"> </w:t>
      </w:r>
      <w:r>
        <w:t>dit et jugé que les périodes d’activité accomplies par Monsieur Desfonds, ancien prêtre, avant le 1</w:t>
      </w:r>
      <w:r w:rsidRPr="00634EA7">
        <w:rPr>
          <w:vertAlign w:val="superscript"/>
        </w:rPr>
        <w:t>er</w:t>
      </w:r>
      <w:r>
        <w:t xml:space="preserve"> janvier 1979 devaient être validées pour l’ouverture et le calcul des droits à la retraite dans les mêmes conditions que les périodes cotisées à compter du 1</w:t>
      </w:r>
      <w:r w:rsidRPr="00634EA7">
        <w:rPr>
          <w:vertAlign w:val="superscript"/>
        </w:rPr>
        <w:t>er</w:t>
      </w:r>
      <w:r>
        <w:t xml:space="preserve"> janvier 1979, ayant condamné la CAVIMAC à payer à Monsieur Desfonds</w:t>
      </w:r>
      <w:r w:rsidRPr="00BB7F9D">
        <w:rPr>
          <w:u w:val="single"/>
        </w:rPr>
        <w:t xml:space="preserve"> les arriérés de retraite </w:t>
      </w:r>
      <w:r w:rsidRPr="00BB7F9D">
        <w:rPr>
          <w:b/>
          <w:u w:val="single"/>
        </w:rPr>
        <w:t>conformément à cette revalorisation, ainsi que la surcote relative à un nouveau relevé de carrière</w:t>
      </w:r>
      <w:r>
        <w:t>.</w:t>
      </w:r>
    </w:p>
    <w:p w14:paraId="6D25C2C9" w14:textId="77777777" w:rsidR="00537830" w:rsidRDefault="00537830" w:rsidP="00537830">
      <w:pPr>
        <w:ind w:right="113" w:firstLine="540"/>
        <w:jc w:val="both"/>
      </w:pPr>
    </w:p>
    <w:p w14:paraId="5CAE8344" w14:textId="77777777" w:rsidR="00537830" w:rsidRDefault="00537830" w:rsidP="00537830">
      <w:pPr>
        <w:ind w:right="113" w:firstLine="540"/>
        <w:jc w:val="both"/>
      </w:pPr>
      <w:r>
        <w:t>Cela se comprend aisément dans la mesure où la validation à titre gratuit, proposée par la CAVIMAC, n’était pas justifiable, fut-ce pour cette période antérieure à la mise en place du régime des cultes.</w:t>
      </w:r>
    </w:p>
    <w:p w14:paraId="2DEEB76C" w14:textId="77777777" w:rsidR="00537830" w:rsidRDefault="00537830" w:rsidP="00537830">
      <w:pPr>
        <w:ind w:right="113" w:firstLine="540"/>
        <w:jc w:val="both"/>
      </w:pPr>
    </w:p>
    <w:p w14:paraId="39FF7D68" w14:textId="77777777" w:rsidR="00537830" w:rsidRDefault="00537830" w:rsidP="00537830">
      <w:pPr>
        <w:ind w:firstLine="540"/>
        <w:jc w:val="both"/>
        <w:rPr>
          <w:color w:val="292526"/>
          <w:lang w:eastAsia="fr-FR"/>
        </w:rPr>
      </w:pPr>
      <w:r>
        <w:rPr>
          <w:color w:val="292526"/>
          <w:lang w:eastAsia="fr-FR"/>
        </w:rPr>
        <w:t>D’une part, la notion de « trimestre gratuit » ne paraît nulle part dans le corpus législatif et règlementaire afférent audit régime.</w:t>
      </w:r>
    </w:p>
    <w:p w14:paraId="197ACA16" w14:textId="77777777" w:rsidR="00537830" w:rsidRDefault="00537830" w:rsidP="00537830">
      <w:pPr>
        <w:ind w:firstLine="540"/>
        <w:jc w:val="both"/>
        <w:rPr>
          <w:color w:val="292526"/>
          <w:lang w:eastAsia="fr-FR"/>
        </w:rPr>
      </w:pPr>
    </w:p>
    <w:p w14:paraId="16A77687" w14:textId="77777777" w:rsidR="00537830" w:rsidRDefault="00537830" w:rsidP="00537830">
      <w:pPr>
        <w:ind w:firstLine="540"/>
        <w:jc w:val="both"/>
        <w:rPr>
          <w:color w:val="292526"/>
          <w:lang w:eastAsia="fr-FR"/>
        </w:rPr>
      </w:pPr>
      <w:r>
        <w:rPr>
          <w:color w:val="292526"/>
          <w:lang w:eastAsia="fr-FR"/>
        </w:rPr>
        <w:t>D’autre part, la validation de trimestres à titre gratuit est une mesure exceptionnelle qui ne peut être retenue que si elle est envisagée par un texte.</w:t>
      </w:r>
    </w:p>
    <w:p w14:paraId="317AC5ED" w14:textId="77777777" w:rsidR="00537830" w:rsidRDefault="00537830" w:rsidP="00537830">
      <w:pPr>
        <w:ind w:firstLine="540"/>
        <w:jc w:val="both"/>
        <w:rPr>
          <w:color w:val="292526"/>
          <w:lang w:eastAsia="fr-FR"/>
        </w:rPr>
      </w:pPr>
    </w:p>
    <w:p w14:paraId="4E07E75E" w14:textId="77777777" w:rsidR="00537830" w:rsidRDefault="00537830" w:rsidP="00537830">
      <w:pPr>
        <w:ind w:firstLine="540"/>
        <w:jc w:val="both"/>
        <w:rPr>
          <w:color w:val="292526"/>
          <w:lang w:eastAsia="fr-FR"/>
        </w:rPr>
      </w:pPr>
      <w:r>
        <w:rPr>
          <w:color w:val="292526"/>
          <w:lang w:eastAsia="fr-FR"/>
        </w:rPr>
        <w:t>Il en va ainsi pour la personne ayant eu à sa charge un handicapé (article L. 381-1 du code de la sécurité sociale).</w:t>
      </w:r>
    </w:p>
    <w:p w14:paraId="2043EBEC" w14:textId="77777777" w:rsidR="00537830" w:rsidRDefault="00537830" w:rsidP="00537830">
      <w:pPr>
        <w:ind w:firstLine="540"/>
        <w:jc w:val="both"/>
        <w:rPr>
          <w:color w:val="292526"/>
          <w:lang w:eastAsia="fr-FR"/>
        </w:rPr>
      </w:pPr>
    </w:p>
    <w:p w14:paraId="68BE905A" w14:textId="77777777" w:rsidR="00537830" w:rsidRDefault="00537830" w:rsidP="00537830">
      <w:pPr>
        <w:ind w:firstLine="540"/>
        <w:jc w:val="both"/>
        <w:rPr>
          <w:color w:val="292526"/>
          <w:lang w:eastAsia="fr-FR"/>
        </w:rPr>
      </w:pPr>
      <w:r>
        <w:rPr>
          <w:color w:val="292526"/>
          <w:lang w:eastAsia="fr-FR"/>
        </w:rPr>
        <w:t>Ce type d’affiliation gratuite ne peut être assimilé au présent cas de figure qui est celui de la mise en place, à une date donnée, le 1</w:t>
      </w:r>
      <w:r w:rsidRPr="00A416EC">
        <w:rPr>
          <w:color w:val="292526"/>
          <w:vertAlign w:val="superscript"/>
          <w:lang w:eastAsia="fr-FR"/>
        </w:rPr>
        <w:t>er</w:t>
      </w:r>
      <w:r>
        <w:rPr>
          <w:color w:val="292526"/>
          <w:lang w:eastAsia="fr-FR"/>
        </w:rPr>
        <w:t xml:space="preserve"> janvier 1979, d’un régime public d’assurance vieillesse.</w:t>
      </w:r>
    </w:p>
    <w:p w14:paraId="71B4C1CE" w14:textId="77777777" w:rsidR="00537830" w:rsidRDefault="00537830" w:rsidP="00537830">
      <w:pPr>
        <w:ind w:firstLine="540"/>
        <w:jc w:val="both"/>
        <w:rPr>
          <w:color w:val="292526"/>
          <w:lang w:eastAsia="fr-FR"/>
        </w:rPr>
      </w:pPr>
    </w:p>
    <w:p w14:paraId="3E7BF85E" w14:textId="77777777" w:rsidR="00537830" w:rsidRPr="00C32E14" w:rsidRDefault="00537830" w:rsidP="00537830">
      <w:pPr>
        <w:ind w:firstLine="540"/>
        <w:jc w:val="both"/>
        <w:rPr>
          <w:color w:val="292526"/>
          <w:lang w:eastAsia="fr-FR"/>
        </w:rPr>
      </w:pPr>
      <w:r>
        <w:rPr>
          <w:color w:val="292526"/>
          <w:lang w:eastAsia="fr-FR"/>
        </w:rPr>
        <w:t xml:space="preserve">Or, </w:t>
      </w:r>
      <w:r w:rsidRPr="00C32E14">
        <w:rPr>
          <w:color w:val="292526"/>
          <w:lang w:eastAsia="fr-FR"/>
        </w:rPr>
        <w:t>ce qui vaut pour la période antérieure au 1</w:t>
      </w:r>
      <w:r w:rsidRPr="00C32E14">
        <w:rPr>
          <w:color w:val="292526"/>
          <w:vertAlign w:val="superscript"/>
          <w:lang w:eastAsia="fr-FR"/>
        </w:rPr>
        <w:t>er</w:t>
      </w:r>
      <w:r w:rsidRPr="00C32E14">
        <w:rPr>
          <w:color w:val="292526"/>
          <w:lang w:eastAsia="fr-FR"/>
        </w:rPr>
        <w:t xml:space="preserve"> janvier 1979 vaut </w:t>
      </w:r>
      <w:r w:rsidRPr="00C32E14">
        <w:rPr>
          <w:i/>
          <w:color w:val="292526"/>
          <w:lang w:eastAsia="fr-FR"/>
        </w:rPr>
        <w:t>a fortiori</w:t>
      </w:r>
      <w:r w:rsidRPr="00C32E14">
        <w:rPr>
          <w:color w:val="292526"/>
          <w:lang w:eastAsia="fr-FR"/>
        </w:rPr>
        <w:t xml:space="preserve"> pour la période postérieure.</w:t>
      </w:r>
    </w:p>
    <w:p w14:paraId="34F403CB" w14:textId="77777777" w:rsidR="00537830" w:rsidRPr="00C32E14" w:rsidRDefault="00537830" w:rsidP="00537830">
      <w:pPr>
        <w:ind w:firstLine="540"/>
        <w:jc w:val="both"/>
        <w:rPr>
          <w:color w:val="292526"/>
          <w:lang w:eastAsia="fr-FR"/>
        </w:rPr>
      </w:pPr>
    </w:p>
    <w:p w14:paraId="10424DD4" w14:textId="77777777" w:rsidR="00537830" w:rsidRDefault="00537830" w:rsidP="00537830">
      <w:pPr>
        <w:ind w:firstLine="540"/>
        <w:jc w:val="both"/>
        <w:rPr>
          <w:color w:val="292526"/>
          <w:lang w:eastAsia="fr-FR"/>
        </w:rPr>
      </w:pPr>
      <w:r>
        <w:rPr>
          <w:color w:val="292526"/>
          <w:lang w:eastAsia="fr-FR"/>
        </w:rPr>
        <w:t xml:space="preserve">Dès lors que la CAVIMAC est condamnée à reporter le point de départ d’une affiliation au-delà du seul prononcé des vœux religieux, </w:t>
      </w:r>
      <w:r w:rsidRPr="00C0071A">
        <w:rPr>
          <w:color w:val="292526"/>
          <w:u w:val="single"/>
          <w:lang w:eastAsia="fr-FR"/>
        </w:rPr>
        <w:t xml:space="preserve">il est exclu que l’absence de versement effectif </w:t>
      </w:r>
      <w:r w:rsidRPr="00C0071A">
        <w:rPr>
          <w:color w:val="292526"/>
          <w:u w:val="single"/>
          <w:lang w:eastAsia="fr-FR"/>
        </w:rPr>
        <w:lastRenderedPageBreak/>
        <w:t>de cotisations par la congrégation religieuse entre en ligne de compte</w:t>
      </w:r>
      <w:r>
        <w:rPr>
          <w:color w:val="292526"/>
          <w:lang w:eastAsia="fr-FR"/>
        </w:rPr>
        <w:t xml:space="preserve"> et justifie une validation de trimestres supplémentaires </w:t>
      </w:r>
      <w:r w:rsidRPr="00281DA6">
        <w:rPr>
          <w:color w:val="292526"/>
          <w:u w:val="single"/>
          <w:lang w:eastAsia="fr-FR"/>
        </w:rPr>
        <w:t>à titre simplement gratuit</w:t>
      </w:r>
      <w:r>
        <w:rPr>
          <w:color w:val="292526"/>
          <w:lang w:eastAsia="fr-FR"/>
        </w:rPr>
        <w:t>, au risque d’une minoration subséquente de la pension finalement versée.</w:t>
      </w:r>
    </w:p>
    <w:p w14:paraId="5AB071A4" w14:textId="77777777" w:rsidR="00537830" w:rsidRDefault="00537830" w:rsidP="00537830">
      <w:pPr>
        <w:ind w:firstLine="540"/>
        <w:jc w:val="both"/>
        <w:rPr>
          <w:color w:val="292526"/>
          <w:lang w:eastAsia="fr-FR"/>
        </w:rPr>
      </w:pPr>
    </w:p>
    <w:p w14:paraId="3E048030" w14:textId="77777777" w:rsidR="00537830" w:rsidRDefault="00537830" w:rsidP="00537830">
      <w:pPr>
        <w:ind w:firstLine="540"/>
        <w:jc w:val="both"/>
        <w:rPr>
          <w:color w:val="292526"/>
          <w:lang w:eastAsia="fr-FR"/>
        </w:rPr>
      </w:pPr>
      <w:r>
        <w:rPr>
          <w:color w:val="292526"/>
          <w:lang w:eastAsia="fr-FR"/>
        </w:rPr>
        <w:t>Les décisions rendues depuis les arrêts de principe du 22 octobre 2009 en attestent (</w:t>
      </w:r>
      <w:proofErr w:type="spellStart"/>
      <w:r>
        <w:rPr>
          <w:color w:val="292526"/>
          <w:lang w:eastAsia="fr-FR"/>
        </w:rPr>
        <w:t>Civ</w:t>
      </w:r>
      <w:proofErr w:type="spellEnd"/>
      <w:r>
        <w:rPr>
          <w:color w:val="292526"/>
          <w:lang w:eastAsia="fr-FR"/>
        </w:rPr>
        <w:t xml:space="preserve">. 2, </w:t>
      </w:r>
      <w:r w:rsidRPr="009769CD">
        <w:t xml:space="preserve">8 octobre 2015, pourvoi n° </w:t>
      </w:r>
      <w:r w:rsidRPr="009769CD">
        <w:rPr>
          <w:bCs/>
        </w:rPr>
        <w:t>14-25.097, inédit</w:t>
      </w:r>
      <w:r w:rsidRPr="009769CD">
        <w:rPr>
          <w:color w:val="292526"/>
          <w:lang w:eastAsia="fr-FR"/>
        </w:rPr>
        <w:t xml:space="preserve"> ; </w:t>
      </w:r>
      <w:proofErr w:type="spellStart"/>
      <w:r>
        <w:rPr>
          <w:color w:val="292526"/>
          <w:lang w:eastAsia="fr-FR"/>
        </w:rPr>
        <w:t>Civ</w:t>
      </w:r>
      <w:proofErr w:type="spellEnd"/>
      <w:r>
        <w:rPr>
          <w:color w:val="292526"/>
          <w:lang w:eastAsia="fr-FR"/>
        </w:rPr>
        <w:t xml:space="preserve">. 2, </w:t>
      </w:r>
      <w:r w:rsidRPr="009769CD">
        <w:t>18 juin 2015</w:t>
      </w:r>
      <w:r>
        <w:t xml:space="preserve">, pourvoi n° </w:t>
      </w:r>
      <w:r w:rsidRPr="00680B85">
        <w:rPr>
          <w:bCs/>
        </w:rPr>
        <w:t>14-20.766</w:t>
      </w:r>
      <w:r>
        <w:rPr>
          <w:bCs/>
        </w:rPr>
        <w:t xml:space="preserve"> ; </w:t>
      </w:r>
      <w:proofErr w:type="spellStart"/>
      <w:r w:rsidRPr="009769CD">
        <w:rPr>
          <w:color w:val="292526"/>
          <w:lang w:eastAsia="fr-FR"/>
        </w:rPr>
        <w:t>Civ</w:t>
      </w:r>
      <w:proofErr w:type="spellEnd"/>
      <w:r w:rsidRPr="009769CD">
        <w:rPr>
          <w:color w:val="292526"/>
          <w:lang w:eastAsia="fr-FR"/>
        </w:rPr>
        <w:t xml:space="preserve">. 2, </w:t>
      </w:r>
      <w:r w:rsidRPr="009769CD">
        <w:t>28 mai 2014, pourvoi n° 13-24.011, inédit</w:t>
      </w:r>
      <w:r w:rsidRPr="009769CD">
        <w:rPr>
          <w:iCs/>
          <w:color w:val="000000"/>
        </w:rPr>
        <w:t xml:space="preserve"> ; </w:t>
      </w:r>
      <w:proofErr w:type="spellStart"/>
      <w:r w:rsidRPr="009769CD">
        <w:t>Civ</w:t>
      </w:r>
      <w:proofErr w:type="spellEnd"/>
      <w:r w:rsidRPr="009769CD">
        <w:t>. 2, 28 mai 2014</w:t>
      </w:r>
      <w:r w:rsidRPr="00135796">
        <w:t xml:space="preserve">, pourvoi n° </w:t>
      </w:r>
      <w:r w:rsidRPr="00135796">
        <w:rPr>
          <w:rFonts w:eastAsia="SimSun"/>
          <w:bCs/>
        </w:rPr>
        <w:t>13-14.030 13-14.990,</w:t>
      </w:r>
      <w:r>
        <w:rPr>
          <w:rFonts w:eastAsia="SimSun"/>
          <w:bCs/>
        </w:rPr>
        <w:t xml:space="preserve"> Bull. II, n° 118 ; </w:t>
      </w:r>
      <w:proofErr w:type="spellStart"/>
      <w:r w:rsidRPr="000303C2">
        <w:rPr>
          <w:iCs/>
          <w:color w:val="000000"/>
        </w:rPr>
        <w:t>Civ</w:t>
      </w:r>
      <w:proofErr w:type="spellEnd"/>
      <w:r w:rsidRPr="000303C2">
        <w:rPr>
          <w:iCs/>
          <w:color w:val="000000"/>
        </w:rPr>
        <w:t xml:space="preserve">. 2, </w:t>
      </w:r>
      <w:r w:rsidRPr="00F16C94">
        <w:rPr>
          <w:iCs/>
          <w:color w:val="000000"/>
        </w:rPr>
        <w:t>11 oct. 2012</w:t>
      </w:r>
      <w:r w:rsidRPr="000303C2">
        <w:rPr>
          <w:iCs/>
          <w:color w:val="000000"/>
        </w:rPr>
        <w:t xml:space="preserve">, pourvoi n° </w:t>
      </w:r>
      <w:r w:rsidRPr="000303C2">
        <w:rPr>
          <w:rStyle w:val="lev"/>
          <w:b w:val="0"/>
        </w:rPr>
        <w:t xml:space="preserve">11-20.775, inédit ; </w:t>
      </w:r>
      <w:r w:rsidRPr="00F16C94">
        <w:rPr>
          <w:rStyle w:val="lev"/>
          <w:b w:val="0"/>
        </w:rPr>
        <w:t>21 juin 2012</w:t>
      </w:r>
      <w:r w:rsidRPr="000303C2">
        <w:rPr>
          <w:rStyle w:val="lev"/>
          <w:b w:val="0"/>
        </w:rPr>
        <w:t>, pourvois n° 11-18.782, 11-18.801, 11-19.079,</w:t>
      </w:r>
      <w:r w:rsidRPr="000303C2">
        <w:rPr>
          <w:rStyle w:val="lev"/>
        </w:rPr>
        <w:t xml:space="preserve"> </w:t>
      </w:r>
      <w:r w:rsidRPr="000303C2">
        <w:rPr>
          <w:rStyle w:val="lev"/>
          <w:b w:val="0"/>
        </w:rPr>
        <w:t xml:space="preserve">inédits ; </w:t>
      </w:r>
      <w:r w:rsidRPr="00F16C94">
        <w:rPr>
          <w:rStyle w:val="lev"/>
          <w:b w:val="0"/>
        </w:rPr>
        <w:t>31 mai 2012</w:t>
      </w:r>
      <w:r w:rsidRPr="000303C2">
        <w:rPr>
          <w:rStyle w:val="lev"/>
          <w:b w:val="0"/>
        </w:rPr>
        <w:t xml:space="preserve">, pourvoi n° 11-15.294 11-15.426, inédit ; </w:t>
      </w:r>
      <w:proofErr w:type="spellStart"/>
      <w:r w:rsidRPr="000303C2">
        <w:rPr>
          <w:rStyle w:val="lev"/>
          <w:b w:val="0"/>
        </w:rPr>
        <w:t>Civ</w:t>
      </w:r>
      <w:proofErr w:type="spellEnd"/>
      <w:r w:rsidRPr="000303C2">
        <w:rPr>
          <w:rStyle w:val="lev"/>
          <w:b w:val="0"/>
        </w:rPr>
        <w:t xml:space="preserve">. 2, </w:t>
      </w:r>
      <w:r w:rsidRPr="00F16C94">
        <w:rPr>
          <w:rStyle w:val="lev"/>
          <w:b w:val="0"/>
        </w:rPr>
        <w:t>20 janv. 2012</w:t>
      </w:r>
      <w:r w:rsidRPr="000303C2">
        <w:rPr>
          <w:rStyle w:val="lev"/>
          <w:b w:val="0"/>
        </w:rPr>
        <w:t xml:space="preserve">, pourvois n° </w:t>
      </w:r>
      <w:r w:rsidRPr="000303C2">
        <w:t>10-24.603 et n° 10-24.615,</w:t>
      </w:r>
      <w:r w:rsidRPr="000303C2">
        <w:rPr>
          <w:rStyle w:val="lev"/>
          <w:b w:val="0"/>
        </w:rPr>
        <w:t xml:space="preserve"> n° 10-26.845 10-26.873, inédits, J</w:t>
      </w:r>
      <w:r>
        <w:rPr>
          <w:rStyle w:val="lev"/>
          <w:b w:val="0"/>
        </w:rPr>
        <w:t xml:space="preserve">CP S 2012, 1104, obs. Th. </w:t>
      </w:r>
      <w:proofErr w:type="spellStart"/>
      <w:r>
        <w:rPr>
          <w:rStyle w:val="lev"/>
          <w:b w:val="0"/>
        </w:rPr>
        <w:t>Tauran</w:t>
      </w:r>
      <w:proofErr w:type="spellEnd"/>
      <w:r w:rsidRPr="000303C2">
        <w:rPr>
          <w:rStyle w:val="lev"/>
          <w:b w:val="0"/>
        </w:rPr>
        <w:t>).</w:t>
      </w:r>
    </w:p>
    <w:p w14:paraId="4DB68296" w14:textId="77777777" w:rsidR="00537830" w:rsidRDefault="00537830" w:rsidP="00537830">
      <w:pPr>
        <w:ind w:firstLine="540"/>
        <w:jc w:val="both"/>
        <w:rPr>
          <w:color w:val="292526"/>
          <w:lang w:eastAsia="fr-FR"/>
        </w:rPr>
      </w:pPr>
    </w:p>
    <w:p w14:paraId="6DBC8377" w14:textId="77777777" w:rsidR="00537830" w:rsidRDefault="00537830" w:rsidP="00537830">
      <w:pPr>
        <w:ind w:firstLine="540"/>
        <w:jc w:val="both"/>
        <w:rPr>
          <w:color w:val="292526"/>
          <w:lang w:eastAsia="fr-FR"/>
        </w:rPr>
      </w:pPr>
      <w:r>
        <w:rPr>
          <w:color w:val="292526"/>
          <w:lang w:eastAsia="fr-FR"/>
        </w:rPr>
        <w:t xml:space="preserve">La Cour de cassation y a systématiquement retenu le principe d’une condamnation de la CAVIMAC à ajouter les trimestres précédant l’émission des vœux et </w:t>
      </w:r>
      <w:r w:rsidR="004102A7">
        <w:rPr>
          <w:color w:val="292526"/>
          <w:u w:val="single"/>
          <w:lang w:eastAsia="fr-FR"/>
        </w:rPr>
        <w:t>à les pleinement considérer</w:t>
      </w:r>
      <w:r w:rsidRPr="004139DF">
        <w:rPr>
          <w:color w:val="292526"/>
          <w:u w:val="single"/>
          <w:lang w:eastAsia="fr-FR"/>
        </w:rPr>
        <w:t>, non pas en tant que trimestres à titre gratuit, mais en tant que trimestres cotisés ou assimilés cotisés</w:t>
      </w:r>
      <w:r>
        <w:rPr>
          <w:color w:val="292526"/>
          <w:lang w:eastAsia="fr-FR"/>
        </w:rPr>
        <w:t>.</w:t>
      </w:r>
    </w:p>
    <w:p w14:paraId="740C574D" w14:textId="77777777" w:rsidR="00537830" w:rsidRDefault="00537830" w:rsidP="00537830">
      <w:pPr>
        <w:ind w:firstLine="540"/>
        <w:jc w:val="both"/>
        <w:rPr>
          <w:color w:val="292526"/>
          <w:lang w:eastAsia="fr-FR"/>
        </w:rPr>
      </w:pPr>
    </w:p>
    <w:p w14:paraId="187E148B" w14:textId="77777777" w:rsidR="00537830" w:rsidRPr="00B82B7C" w:rsidRDefault="00537830" w:rsidP="00537830">
      <w:pPr>
        <w:ind w:firstLine="540"/>
        <w:jc w:val="both"/>
        <w:rPr>
          <w:b/>
          <w:color w:val="292526"/>
          <w:lang w:eastAsia="fr-FR"/>
        </w:rPr>
      </w:pPr>
      <w:r w:rsidRPr="00B82B7C">
        <w:rPr>
          <w:b/>
          <w:color w:val="292526"/>
          <w:lang w:eastAsia="fr-FR"/>
        </w:rPr>
        <w:t xml:space="preserve">Il s’en évince que la Cour régulatrice n’a jamais eu égard à l’effectivité du paiement des cotisations au cours des périodes ainsi ajoutées au corps défendant de la CAVIMAC et des congrégations. </w:t>
      </w:r>
    </w:p>
    <w:p w14:paraId="37E6DDCE" w14:textId="77777777" w:rsidR="00C32E14" w:rsidRDefault="00C32E14" w:rsidP="00537830">
      <w:pPr>
        <w:ind w:firstLine="540"/>
        <w:jc w:val="both"/>
        <w:rPr>
          <w:color w:val="292526"/>
          <w:lang w:eastAsia="fr-FR"/>
        </w:rPr>
      </w:pPr>
    </w:p>
    <w:p w14:paraId="2ED8025A" w14:textId="77777777" w:rsidR="00B82B7C" w:rsidRPr="004102A7" w:rsidRDefault="00C32E14" w:rsidP="00B82B7C">
      <w:pPr>
        <w:ind w:firstLine="540"/>
        <w:jc w:val="both"/>
        <w:rPr>
          <w:b/>
          <w:color w:val="292526"/>
          <w:u w:val="single"/>
          <w:lang w:eastAsia="fr-FR"/>
        </w:rPr>
      </w:pPr>
      <w:r w:rsidRPr="004102A7">
        <w:rPr>
          <w:b/>
          <w:color w:val="292526"/>
          <w:u w:val="single"/>
          <w:lang w:eastAsia="fr-FR"/>
        </w:rPr>
        <w:t>La Cour de cassation ne peut dès lors adopter des attitudes opposées dans des affaires similaires.</w:t>
      </w:r>
    </w:p>
    <w:p w14:paraId="2FDEFA5B" w14:textId="77777777" w:rsidR="00C0071A" w:rsidRDefault="00C0071A" w:rsidP="00B82B7C">
      <w:pPr>
        <w:ind w:firstLine="540"/>
        <w:jc w:val="both"/>
        <w:rPr>
          <w:color w:val="292526"/>
          <w:lang w:eastAsia="fr-FR"/>
        </w:rPr>
      </w:pPr>
    </w:p>
    <w:p w14:paraId="18374FB9" w14:textId="77777777" w:rsidR="00C0071A" w:rsidRDefault="00C0071A" w:rsidP="00B82B7C">
      <w:pPr>
        <w:ind w:firstLine="540"/>
        <w:jc w:val="both"/>
        <w:rPr>
          <w:color w:val="292526"/>
          <w:lang w:eastAsia="fr-FR"/>
        </w:rPr>
      </w:pPr>
      <w:r>
        <w:rPr>
          <w:color w:val="292526"/>
          <w:lang w:eastAsia="fr-FR"/>
        </w:rPr>
        <w:t>L’exposant ne comprend donc pas que M. le Conseiller-Rapporteur le considère comme étant « </w:t>
      </w:r>
      <w:r w:rsidRPr="004102A7">
        <w:rPr>
          <w:i/>
          <w:color w:val="292526"/>
          <w:lang w:eastAsia="fr-FR"/>
        </w:rPr>
        <w:t>particulièrement mal fondé à critiquer la réserve d’effectivité émise par la cour d’appel</w:t>
      </w:r>
      <w:r>
        <w:rPr>
          <w:color w:val="292526"/>
          <w:lang w:eastAsia="fr-FR"/>
        </w:rPr>
        <w:t> » (rapport, p. 9, § 4) par cela seul qu’il n’a pas maintenu sa demande de condamnation de la Communauté des Béatitudes au paiement des cotisations ni offert de régler celles qui lui incombait.</w:t>
      </w:r>
    </w:p>
    <w:p w14:paraId="1CFA3DCE" w14:textId="77777777" w:rsidR="00C0071A" w:rsidRDefault="00C0071A" w:rsidP="00B82B7C">
      <w:pPr>
        <w:ind w:firstLine="540"/>
        <w:jc w:val="both"/>
        <w:rPr>
          <w:color w:val="292526"/>
          <w:lang w:eastAsia="fr-FR"/>
        </w:rPr>
      </w:pPr>
    </w:p>
    <w:p w14:paraId="4721DA42" w14:textId="77777777" w:rsidR="00C0071A" w:rsidRDefault="00C0071A" w:rsidP="00B82B7C">
      <w:pPr>
        <w:ind w:firstLine="540"/>
        <w:jc w:val="both"/>
        <w:rPr>
          <w:color w:val="292526"/>
          <w:lang w:eastAsia="fr-FR"/>
        </w:rPr>
      </w:pPr>
      <w:r>
        <w:rPr>
          <w:color w:val="292526"/>
          <w:lang w:eastAsia="fr-FR"/>
        </w:rPr>
        <w:t>Il ne comprend pas davantage qu’il lui soit fait reproche de se contredire au détriment d’autrui, tandis qu’il a demandé à ce que la CAVIMAC assume les arriérés de cotisations.</w:t>
      </w:r>
    </w:p>
    <w:p w14:paraId="78BEE852" w14:textId="77777777" w:rsidR="00C0071A" w:rsidRDefault="00C0071A" w:rsidP="00B82B7C">
      <w:pPr>
        <w:ind w:firstLine="540"/>
        <w:jc w:val="both"/>
        <w:rPr>
          <w:color w:val="292526"/>
          <w:lang w:eastAsia="fr-FR"/>
        </w:rPr>
      </w:pPr>
    </w:p>
    <w:p w14:paraId="4EE38388" w14:textId="77777777" w:rsidR="00C0071A" w:rsidRDefault="00C0071A" w:rsidP="00B82B7C">
      <w:pPr>
        <w:ind w:firstLine="540"/>
        <w:jc w:val="both"/>
        <w:rPr>
          <w:color w:val="292526"/>
          <w:lang w:eastAsia="fr-FR"/>
        </w:rPr>
      </w:pPr>
      <w:r>
        <w:rPr>
          <w:color w:val="292526"/>
          <w:lang w:eastAsia="fr-FR"/>
        </w:rPr>
        <w:t xml:space="preserve">Etant donnée la jurisprudence de la Cour de cassation dans ce type d’affaires, ce depuis les premiers arrêts du 22 octobre 2009, cette analyse est pour le moins </w:t>
      </w:r>
      <w:r w:rsidR="00DE5096">
        <w:rPr>
          <w:color w:val="292526"/>
          <w:lang w:eastAsia="fr-FR"/>
        </w:rPr>
        <w:t>contestable</w:t>
      </w:r>
      <w:r>
        <w:rPr>
          <w:color w:val="292526"/>
          <w:lang w:eastAsia="fr-FR"/>
        </w:rPr>
        <w:t>.</w:t>
      </w:r>
    </w:p>
    <w:p w14:paraId="0939C80F" w14:textId="77777777" w:rsidR="00B82B7C" w:rsidRDefault="00B82B7C" w:rsidP="00B82B7C">
      <w:pPr>
        <w:ind w:firstLine="540"/>
        <w:jc w:val="both"/>
        <w:rPr>
          <w:color w:val="292526"/>
          <w:lang w:eastAsia="fr-FR"/>
        </w:rPr>
      </w:pPr>
    </w:p>
    <w:p w14:paraId="08BC9E27" w14:textId="77777777" w:rsidR="00294DE2" w:rsidRPr="00B82B7C" w:rsidRDefault="00C0071A" w:rsidP="00B82B7C">
      <w:pPr>
        <w:ind w:firstLine="540"/>
        <w:jc w:val="both"/>
        <w:rPr>
          <w:color w:val="292526"/>
          <w:lang w:eastAsia="fr-FR"/>
        </w:rPr>
      </w:pPr>
      <w:r>
        <w:rPr>
          <w:b/>
        </w:rPr>
        <w:t>IV</w:t>
      </w:r>
      <w:r w:rsidR="00C32E14" w:rsidRPr="00C0071A">
        <w:rPr>
          <w:b/>
        </w:rPr>
        <w:t>-</w:t>
      </w:r>
      <w:r w:rsidR="00C32E14">
        <w:t xml:space="preserve"> </w:t>
      </w:r>
      <w:r w:rsidR="00C32E14" w:rsidRPr="00C32E14">
        <w:rPr>
          <w:u w:val="single"/>
        </w:rPr>
        <w:t>S’agissant du troisième moyen</w:t>
      </w:r>
      <w:r w:rsidR="00C32E14">
        <w:t xml:space="preserve">, </w:t>
      </w:r>
      <w:r w:rsidR="00B82B7C">
        <w:t xml:space="preserve">portant sur le chef de dispositif déboutant M. Descombas de sa demande en réparation du préjudice moral subi du fait de la faute de la CAVIMAC, </w:t>
      </w:r>
      <w:r w:rsidR="00C32E14">
        <w:t>il convient de nouveau de rappeler que, compte-tenu du 1</w:t>
      </w:r>
      <w:r w:rsidR="00C32E14" w:rsidRPr="00C32E14">
        <w:rPr>
          <w:vertAlign w:val="superscript"/>
        </w:rPr>
        <w:t>er</w:t>
      </w:r>
      <w:r w:rsidR="00C32E14">
        <w:t xml:space="preserve"> jugement de dissociation et de l’arrêt de la cour d’appel de Reims, il a été demandé de dire que la CAVIMAC devait appeler les cotisations ou, à défaut, les assumer.</w:t>
      </w:r>
    </w:p>
    <w:p w14:paraId="470BE235" w14:textId="77777777" w:rsidR="00C32E14" w:rsidRDefault="00C32E14" w:rsidP="00FE30F7">
      <w:pPr>
        <w:ind w:firstLine="540"/>
        <w:jc w:val="both"/>
      </w:pPr>
    </w:p>
    <w:p w14:paraId="2DF1F341" w14:textId="77777777" w:rsidR="00C32E14" w:rsidRDefault="00C32E14" w:rsidP="00FE30F7">
      <w:pPr>
        <w:ind w:firstLine="540"/>
        <w:jc w:val="both"/>
      </w:pPr>
      <w:r>
        <w:t>Le dispositif des écritures d’appel de l’exposant a été cité plus haut.</w:t>
      </w:r>
    </w:p>
    <w:p w14:paraId="360DE2F3" w14:textId="77777777" w:rsidR="00C32E14" w:rsidRDefault="00C32E14" w:rsidP="00FE30F7">
      <w:pPr>
        <w:ind w:firstLine="540"/>
        <w:jc w:val="both"/>
      </w:pPr>
    </w:p>
    <w:p w14:paraId="4DC8520D" w14:textId="77777777" w:rsidR="00C32E14" w:rsidRDefault="00C32E14" w:rsidP="00FE30F7">
      <w:pPr>
        <w:ind w:firstLine="540"/>
        <w:jc w:val="both"/>
      </w:pPr>
      <w:r>
        <w:t>De même, la cour ne peut évidemment retenir que « </w:t>
      </w:r>
      <w:r w:rsidRPr="009A1352">
        <w:rPr>
          <w:i/>
        </w:rPr>
        <w:t>rien n’interdisait à M. Descombas de faire une demande d’affiliation à la CAVIMAC </w:t>
      </w:r>
      <w:r>
        <w:t>».</w:t>
      </w:r>
    </w:p>
    <w:p w14:paraId="1900AB65" w14:textId="77777777" w:rsidR="00B82B7C" w:rsidRDefault="00B82B7C" w:rsidP="00B82B7C">
      <w:pPr>
        <w:jc w:val="both"/>
      </w:pPr>
    </w:p>
    <w:p w14:paraId="49BC0008" w14:textId="77777777" w:rsidR="00B82B7C" w:rsidRDefault="00B82B7C" w:rsidP="00B82B7C">
      <w:pPr>
        <w:ind w:firstLine="540"/>
        <w:jc w:val="both"/>
      </w:pPr>
      <w:r>
        <w:t>Cet organisme est incontestablement responsable de la situation en ce que les congrégations et collectivités religieuses n’ont pas cotisé précisément parce qu’elles n’y ont pas été incitées.</w:t>
      </w:r>
    </w:p>
    <w:p w14:paraId="4C5A118A" w14:textId="77777777" w:rsidR="00B82B7C" w:rsidRDefault="00B82B7C" w:rsidP="00B82B7C">
      <w:pPr>
        <w:ind w:firstLine="540"/>
        <w:jc w:val="both"/>
      </w:pPr>
      <w:r>
        <w:lastRenderedPageBreak/>
        <w:t>Aussi, l’absence de demande personnelle de M. Descombas aux fins d’affiliation ne peut-elle être utilement invoquée afin de disculper la CAVIMAC.</w:t>
      </w:r>
    </w:p>
    <w:p w14:paraId="365FC4C8" w14:textId="77777777" w:rsidR="00B82B7C" w:rsidRDefault="00B82B7C" w:rsidP="00B82B7C">
      <w:pPr>
        <w:ind w:firstLine="540"/>
        <w:jc w:val="both"/>
      </w:pPr>
    </w:p>
    <w:p w14:paraId="130D0AD8" w14:textId="77777777" w:rsidR="00B82B7C" w:rsidRDefault="00B82B7C" w:rsidP="00B82B7C">
      <w:pPr>
        <w:ind w:firstLine="540"/>
        <w:jc w:val="both"/>
      </w:pPr>
      <w:r>
        <w:t>En tout état de cause, il est tout de même étrange de reprocher au membre d’une communauté religieuse de ne pas se rebeller et solliciter son affiliation, tandis même que sa liberté d’action est extrêmement réduite.</w:t>
      </w:r>
    </w:p>
    <w:p w14:paraId="7665C04E" w14:textId="77777777" w:rsidR="00B82B7C" w:rsidRDefault="00B82B7C" w:rsidP="00B82B7C">
      <w:pPr>
        <w:ind w:firstLine="540"/>
        <w:jc w:val="both"/>
      </w:pPr>
    </w:p>
    <w:p w14:paraId="388F673F" w14:textId="77777777" w:rsidR="00FE30F7" w:rsidRDefault="00B82B7C" w:rsidP="00CF1988">
      <w:pPr>
        <w:ind w:firstLine="540"/>
        <w:jc w:val="both"/>
      </w:pPr>
      <w:r>
        <w:t>De nouveau, cela revient à placer l’assuré social dans une situation intenable.</w:t>
      </w:r>
    </w:p>
    <w:p w14:paraId="7078BFEA" w14:textId="77777777" w:rsidR="00CF1988" w:rsidRDefault="00CF1988" w:rsidP="00CF1988">
      <w:pPr>
        <w:ind w:firstLine="540"/>
        <w:jc w:val="both"/>
      </w:pPr>
      <w:r>
        <w:t>Ayant la charge de gérer le régime de retraite des cultes, la CAVIMAC, par contre, est responsable pour n’avoir pas correctement défini les périodes d’affiliation.</w:t>
      </w:r>
    </w:p>
    <w:p w14:paraId="636760A7" w14:textId="77777777" w:rsidR="00CF1988" w:rsidRDefault="00CF1988" w:rsidP="00CF1988">
      <w:pPr>
        <w:ind w:firstLine="540"/>
        <w:jc w:val="both"/>
      </w:pPr>
    </w:p>
    <w:p w14:paraId="0FF3CF32" w14:textId="77777777" w:rsidR="00CF1988" w:rsidRDefault="00CF1988" w:rsidP="00CF1988">
      <w:pPr>
        <w:ind w:firstLine="540"/>
        <w:jc w:val="both"/>
      </w:pPr>
      <w:r>
        <w:t>Il est remarquable qu’elle a elle-même changé sa position, admettant désormais que les périodes de postulat et de noviciat doivent être considérées.</w:t>
      </w:r>
    </w:p>
    <w:p w14:paraId="1760738E" w14:textId="77777777" w:rsidR="00CF1988" w:rsidRDefault="00CF1988" w:rsidP="00CF1988">
      <w:pPr>
        <w:ind w:firstLine="540"/>
        <w:jc w:val="both"/>
      </w:pPr>
    </w:p>
    <w:p w14:paraId="6A3DBF83" w14:textId="77777777" w:rsidR="00CF1988" w:rsidRDefault="00CF1988" w:rsidP="00CF1988">
      <w:pPr>
        <w:ind w:firstLine="540"/>
        <w:jc w:val="both"/>
      </w:pPr>
      <w:r>
        <w:t>Il est également remarquable que le Conseil d’Etat a été contraint d’annuler son règlement intérieur en ce qu’il ignorait cette obligation d’affiliation.</w:t>
      </w:r>
    </w:p>
    <w:p w14:paraId="5DE8F5E1" w14:textId="77777777" w:rsidR="00CF1988" w:rsidRDefault="00CF1988" w:rsidP="00CF1988">
      <w:pPr>
        <w:ind w:firstLine="540"/>
        <w:jc w:val="both"/>
      </w:pPr>
    </w:p>
    <w:p w14:paraId="4D2DAB27" w14:textId="77777777" w:rsidR="00CF1988" w:rsidRDefault="00CF1988" w:rsidP="00CF1988">
      <w:pPr>
        <w:ind w:firstLine="540"/>
        <w:jc w:val="both"/>
      </w:pPr>
      <w:r>
        <w:t>Dans ces conditions, il est exclu de reprocher aux religieux et anciens religieux de ne pas songer à demander ce qui ne peut être compris qu’au terme d’une réflexion juridique.</w:t>
      </w:r>
    </w:p>
    <w:p w14:paraId="6C0BDF04" w14:textId="77777777" w:rsidR="00CF1988" w:rsidRDefault="00CF1988" w:rsidP="00CF1988">
      <w:pPr>
        <w:ind w:firstLine="540"/>
        <w:jc w:val="both"/>
      </w:pPr>
    </w:p>
    <w:p w14:paraId="1E779338" w14:textId="77777777" w:rsidR="00203BEE" w:rsidRDefault="00C0071A" w:rsidP="00AA4776">
      <w:pPr>
        <w:ind w:firstLine="540"/>
        <w:jc w:val="both"/>
      </w:pPr>
      <w:r>
        <w:rPr>
          <w:b/>
        </w:rPr>
        <w:t xml:space="preserve">V- </w:t>
      </w:r>
      <w:r w:rsidRPr="00D52A66">
        <w:rPr>
          <w:u w:val="single"/>
        </w:rPr>
        <w:t>Pour conclure</w:t>
      </w:r>
      <w:r>
        <w:t xml:space="preserve">, l’exposant </w:t>
      </w:r>
      <w:r w:rsidR="00AA4776">
        <w:t>se permettra d’insister sur le f</w:t>
      </w:r>
      <w:r w:rsidR="00CF1988">
        <w:t xml:space="preserve">ait que valider le raisonnement </w:t>
      </w:r>
      <w:r w:rsidR="00AA4776">
        <w:t>mené par la cour d’appel reviendra</w:t>
      </w:r>
      <w:r w:rsidR="00D52A66">
        <w:t>it</w:t>
      </w:r>
      <w:r w:rsidR="00AA4776">
        <w:t xml:space="preserve"> à mettre à néant tous les efforts déployés depuis les arrêts du 22 octobre 2009 afin de faire prévaloir le droit civil et social sur le droit canon et le bon-vouloir des autorités religieuses et ecclésiales.</w:t>
      </w:r>
    </w:p>
    <w:p w14:paraId="6C577B12" w14:textId="77777777" w:rsidR="00D52A66" w:rsidRDefault="00D52A66" w:rsidP="00AA4776">
      <w:pPr>
        <w:ind w:firstLine="540"/>
        <w:jc w:val="both"/>
      </w:pPr>
    </w:p>
    <w:p w14:paraId="7319566D" w14:textId="77777777" w:rsidR="00D52A66" w:rsidRDefault="00D52A66" w:rsidP="00AA4776">
      <w:pPr>
        <w:ind w:firstLine="540"/>
        <w:jc w:val="both"/>
      </w:pPr>
      <w:r>
        <w:t xml:space="preserve">La construction prétorienne depuis ces arrêts a pourtant été d’une qualité remarquable, la Cour de cassation ayant posé le principe d’une possibilité de validation des périodes antérieures à l’émission des premiers vœux, exclu la validation à titre simplement gratuit des trimestres non cotisés, posé le principe d’une absence d’impact </w:t>
      </w:r>
      <w:r w:rsidR="00F529B8">
        <w:t xml:space="preserve">du défaut de paiement des cotisations </w:t>
      </w:r>
      <w:r>
        <w:t>sur l’affiliation et la validation, mis en échec la loi anti-jurisprudence obtenue par la CAVIMAC et rappelé le droit de l’assuré à contester la position de la CAVIMAC dès avant la liquidation de sa retraite.</w:t>
      </w:r>
    </w:p>
    <w:p w14:paraId="2E157B3A" w14:textId="77777777" w:rsidR="00AA4776" w:rsidRDefault="00AA4776" w:rsidP="00AA4776">
      <w:pPr>
        <w:ind w:firstLine="540"/>
        <w:jc w:val="both"/>
      </w:pPr>
    </w:p>
    <w:p w14:paraId="09251BA4" w14:textId="77777777" w:rsidR="00AA4776" w:rsidRDefault="00D52A66" w:rsidP="00AA4776">
      <w:pPr>
        <w:ind w:firstLine="540"/>
        <w:jc w:val="both"/>
      </w:pPr>
      <w:r>
        <w:t>Validant l</w:t>
      </w:r>
      <w:r w:rsidR="00AA4776">
        <w:t>e raisonnement</w:t>
      </w:r>
      <w:r>
        <w:t xml:space="preserve"> du juge du fond</w:t>
      </w:r>
      <w:r w:rsidR="00AA4776">
        <w:t>, la Cour de cassation admettrait de nouveau que le droit religieux prévaut sur l’ordre public social assurant la protection de tous les assurés sociaux.</w:t>
      </w:r>
    </w:p>
    <w:p w14:paraId="6FA22590" w14:textId="77777777" w:rsidR="00AA4776" w:rsidRDefault="00AA4776" w:rsidP="00AA4776">
      <w:pPr>
        <w:ind w:firstLine="540"/>
        <w:jc w:val="both"/>
      </w:pPr>
    </w:p>
    <w:p w14:paraId="3A87EDFD" w14:textId="77777777" w:rsidR="00AA4776" w:rsidRDefault="00AA4776" w:rsidP="00AA4776">
      <w:pPr>
        <w:ind w:firstLine="540"/>
        <w:jc w:val="both"/>
      </w:pPr>
      <w:r>
        <w:t>Cela signifierait qu’il est au pouvoir des autorités religieuses de ne pas permettre l’affiliation d’une personne s’étant pourtant réellement engagée dans la vie religieuse.</w:t>
      </w:r>
    </w:p>
    <w:p w14:paraId="0BC1D350" w14:textId="77777777" w:rsidR="00AA4776" w:rsidRDefault="00AA4776" w:rsidP="00AA4776">
      <w:pPr>
        <w:ind w:firstLine="540"/>
        <w:jc w:val="both"/>
      </w:pPr>
    </w:p>
    <w:p w14:paraId="25D453B8" w14:textId="77777777" w:rsidR="00AA4776" w:rsidRDefault="00AA4776" w:rsidP="00AA4776">
      <w:pPr>
        <w:ind w:firstLine="540"/>
        <w:jc w:val="both"/>
      </w:pPr>
      <w:r>
        <w:t>Le dysfonctionnement des institutions religieuses serait couvert par un état de fait ultérieur et une appréciation seulement contemporaine à cet état de fait : le défaut de paiement des cotisations et le défaut de reconnaissance de tel ou tel statut canonique priverait l’assuré social de son droit le plus absolu à être affilié dès le début de son engagement.</w:t>
      </w:r>
    </w:p>
    <w:p w14:paraId="5D9C8166" w14:textId="77777777" w:rsidR="00AA4776" w:rsidRDefault="00AA4776" w:rsidP="00AA4776">
      <w:pPr>
        <w:ind w:firstLine="540"/>
        <w:jc w:val="both"/>
      </w:pPr>
    </w:p>
    <w:p w14:paraId="581D11CD" w14:textId="77777777" w:rsidR="000A605A" w:rsidRDefault="00AA4776" w:rsidP="000A605A">
      <w:pPr>
        <w:ind w:firstLine="540"/>
        <w:jc w:val="both"/>
      </w:pPr>
      <w:r>
        <w:t xml:space="preserve">Un tel message serait fort </w:t>
      </w:r>
      <w:r w:rsidR="00C147D2">
        <w:t>préjudiciable et irait à contre-courant de la volonté légitime de soumettre les institutions religieuses à une obligation de transparence, cette obligation même qui pèse sur toutes les institutions laïques.</w:t>
      </w:r>
    </w:p>
    <w:p w14:paraId="6E40C6F4" w14:textId="77777777" w:rsidR="000A605A" w:rsidRDefault="000A605A" w:rsidP="000A605A">
      <w:pPr>
        <w:ind w:firstLine="540"/>
        <w:jc w:val="both"/>
      </w:pPr>
    </w:p>
    <w:p w14:paraId="461D648B" w14:textId="77777777" w:rsidR="000A605A" w:rsidRDefault="000A605A" w:rsidP="000A605A">
      <w:pPr>
        <w:ind w:firstLine="540"/>
        <w:jc w:val="both"/>
      </w:pPr>
      <w:r>
        <w:lastRenderedPageBreak/>
        <w:t>Il serait fort regrettable que cette belle construction prétorienne de la Cour de cassation soit quelque peu mise à mal par un arrêt consacrant la possibilité de lier ainsi l’affiliation individuelle du membre de la communauté au sort purement institut</w:t>
      </w:r>
      <w:r w:rsidR="00C724D7">
        <w:t>ionnel et canonique de celle-ci.</w:t>
      </w:r>
    </w:p>
    <w:p w14:paraId="70A70388" w14:textId="77777777" w:rsidR="00F529B8" w:rsidRDefault="00F529B8" w:rsidP="000A605A">
      <w:pPr>
        <w:ind w:firstLine="540"/>
        <w:jc w:val="both"/>
      </w:pPr>
    </w:p>
    <w:p w14:paraId="523F6CD8" w14:textId="77777777" w:rsidR="000A605A" w:rsidRDefault="000A605A" w:rsidP="00AA4776">
      <w:pPr>
        <w:ind w:firstLine="540"/>
        <w:jc w:val="both"/>
      </w:pPr>
    </w:p>
    <w:sectPr w:rsidR="000A60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0FF4" w14:textId="77777777" w:rsidR="00815613" w:rsidRDefault="00815613">
      <w:r>
        <w:separator/>
      </w:r>
    </w:p>
  </w:endnote>
  <w:endnote w:type="continuationSeparator" w:id="0">
    <w:p w14:paraId="5F5AA75C" w14:textId="77777777" w:rsidR="00815613" w:rsidRDefault="0081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3DCE" w14:textId="77777777" w:rsidR="0004493F" w:rsidRDefault="0004493F" w:rsidP="0004493F">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6B01EF">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B01EF">
      <w:rPr>
        <w:rStyle w:val="Numrodepage"/>
        <w:noProof/>
      </w:rPr>
      <w:t>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9F8C" w14:textId="77777777" w:rsidR="00815613" w:rsidRDefault="00815613">
      <w:r>
        <w:separator/>
      </w:r>
    </w:p>
  </w:footnote>
  <w:footnote w:type="continuationSeparator" w:id="0">
    <w:p w14:paraId="7378597E" w14:textId="77777777" w:rsidR="00815613" w:rsidRDefault="00815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75EF"/>
    <w:multiLevelType w:val="hybridMultilevel"/>
    <w:tmpl w:val="E9EC92FE"/>
    <w:lvl w:ilvl="0" w:tplc="9C2CC1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6BB117D"/>
    <w:multiLevelType w:val="hybridMultilevel"/>
    <w:tmpl w:val="C45461F2"/>
    <w:lvl w:ilvl="0" w:tplc="69FC408C">
      <w:numFmt w:val="bullet"/>
      <w:lvlText w:val="-"/>
      <w:lvlJc w:val="left"/>
      <w:pPr>
        <w:tabs>
          <w:tab w:val="num" w:pos="900"/>
        </w:tabs>
        <w:ind w:left="900" w:hanging="360"/>
      </w:pPr>
      <w:rPr>
        <w:rFonts w:ascii="Times New Roman" w:eastAsia="Times New Roman" w:hAnsi="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0F7"/>
    <w:rsid w:val="00014524"/>
    <w:rsid w:val="000303C2"/>
    <w:rsid w:val="00042350"/>
    <w:rsid w:val="0004493F"/>
    <w:rsid w:val="000767C6"/>
    <w:rsid w:val="000A605A"/>
    <w:rsid w:val="000B25D2"/>
    <w:rsid w:val="000B75C8"/>
    <w:rsid w:val="000F332D"/>
    <w:rsid w:val="00135796"/>
    <w:rsid w:val="001B048A"/>
    <w:rsid w:val="001B1618"/>
    <w:rsid w:val="00203BEE"/>
    <w:rsid w:val="00281DA6"/>
    <w:rsid w:val="00294DE2"/>
    <w:rsid w:val="002A0AC9"/>
    <w:rsid w:val="002F6E05"/>
    <w:rsid w:val="003070D0"/>
    <w:rsid w:val="00330015"/>
    <w:rsid w:val="00384348"/>
    <w:rsid w:val="00390006"/>
    <w:rsid w:val="003F2031"/>
    <w:rsid w:val="003F216F"/>
    <w:rsid w:val="004102A7"/>
    <w:rsid w:val="004139DF"/>
    <w:rsid w:val="00417B00"/>
    <w:rsid w:val="00537830"/>
    <w:rsid w:val="005445DB"/>
    <w:rsid w:val="0055784B"/>
    <w:rsid w:val="00574C88"/>
    <w:rsid w:val="00593785"/>
    <w:rsid w:val="00627A61"/>
    <w:rsid w:val="00634EA7"/>
    <w:rsid w:val="00651CC6"/>
    <w:rsid w:val="00680B85"/>
    <w:rsid w:val="00690D7C"/>
    <w:rsid w:val="006B01EF"/>
    <w:rsid w:val="006E52D1"/>
    <w:rsid w:val="00771B36"/>
    <w:rsid w:val="007B7E5C"/>
    <w:rsid w:val="00813289"/>
    <w:rsid w:val="00815613"/>
    <w:rsid w:val="009531E1"/>
    <w:rsid w:val="00971E37"/>
    <w:rsid w:val="009769CD"/>
    <w:rsid w:val="009A1352"/>
    <w:rsid w:val="00A078FE"/>
    <w:rsid w:val="00A15EB6"/>
    <w:rsid w:val="00A416EC"/>
    <w:rsid w:val="00A4329C"/>
    <w:rsid w:val="00A449AB"/>
    <w:rsid w:val="00A81169"/>
    <w:rsid w:val="00AA4776"/>
    <w:rsid w:val="00B336AE"/>
    <w:rsid w:val="00B82B7C"/>
    <w:rsid w:val="00B870BB"/>
    <w:rsid w:val="00BA7738"/>
    <w:rsid w:val="00BB7F9D"/>
    <w:rsid w:val="00C0071A"/>
    <w:rsid w:val="00C147D2"/>
    <w:rsid w:val="00C32E14"/>
    <w:rsid w:val="00C724D7"/>
    <w:rsid w:val="00C84511"/>
    <w:rsid w:val="00CF1988"/>
    <w:rsid w:val="00D43121"/>
    <w:rsid w:val="00D52A66"/>
    <w:rsid w:val="00D7191B"/>
    <w:rsid w:val="00DE5096"/>
    <w:rsid w:val="00E072FA"/>
    <w:rsid w:val="00E449CD"/>
    <w:rsid w:val="00E5256C"/>
    <w:rsid w:val="00EC5EFC"/>
    <w:rsid w:val="00F01BCE"/>
    <w:rsid w:val="00F16C94"/>
    <w:rsid w:val="00F2467B"/>
    <w:rsid w:val="00F529B8"/>
    <w:rsid w:val="00FE3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FCFE6B1"/>
  <w14:defaultImageDpi w14:val="0"/>
  <w15:docId w15:val="{61AA3DA5-5500-4EA6-9D13-8892F06A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F7"/>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E072FA"/>
    <w:pPr>
      <w:suppressAutoHyphens w:val="0"/>
      <w:spacing w:before="100" w:beforeAutospacing="1" w:after="100" w:afterAutospacing="1"/>
    </w:pPr>
    <w:rPr>
      <w:lang w:eastAsia="fr-FR"/>
    </w:rPr>
  </w:style>
  <w:style w:type="character" w:styleId="lev">
    <w:name w:val="Strong"/>
    <w:uiPriority w:val="99"/>
    <w:qFormat/>
    <w:rsid w:val="00537830"/>
    <w:rPr>
      <w:rFonts w:cs="Times New Roman"/>
      <w:b/>
      <w:bCs/>
    </w:rPr>
  </w:style>
  <w:style w:type="paragraph" w:styleId="En-tte">
    <w:name w:val="header"/>
    <w:basedOn w:val="Normal"/>
    <w:link w:val="En-tteCar"/>
    <w:uiPriority w:val="99"/>
    <w:rsid w:val="0004493F"/>
    <w:pPr>
      <w:tabs>
        <w:tab w:val="center" w:pos="4536"/>
        <w:tab w:val="right" w:pos="9072"/>
      </w:tabs>
    </w:pPr>
  </w:style>
  <w:style w:type="character" w:customStyle="1" w:styleId="En-tteCar">
    <w:name w:val="En-tête Car"/>
    <w:link w:val="En-tte"/>
    <w:uiPriority w:val="99"/>
    <w:semiHidden/>
    <w:locked/>
    <w:rPr>
      <w:rFonts w:cs="Times New Roman"/>
      <w:sz w:val="24"/>
      <w:szCs w:val="24"/>
      <w:lang w:val="x-none" w:eastAsia="ar-SA" w:bidi="ar-SA"/>
    </w:rPr>
  </w:style>
  <w:style w:type="paragraph" w:styleId="Pieddepage">
    <w:name w:val="footer"/>
    <w:basedOn w:val="Normal"/>
    <w:link w:val="PieddepageCar"/>
    <w:uiPriority w:val="99"/>
    <w:rsid w:val="0004493F"/>
    <w:pPr>
      <w:tabs>
        <w:tab w:val="center" w:pos="4536"/>
        <w:tab w:val="right" w:pos="9072"/>
      </w:tabs>
    </w:pPr>
  </w:style>
  <w:style w:type="character" w:customStyle="1" w:styleId="PieddepageCar">
    <w:name w:val="Pied de page Car"/>
    <w:link w:val="Pieddepage"/>
    <w:uiPriority w:val="99"/>
    <w:semiHidden/>
    <w:locked/>
    <w:rPr>
      <w:rFonts w:cs="Times New Roman"/>
      <w:sz w:val="24"/>
      <w:szCs w:val="24"/>
      <w:lang w:val="x-none" w:eastAsia="ar-SA" w:bidi="ar-SA"/>
    </w:rPr>
  </w:style>
  <w:style w:type="character" w:styleId="Numrodepage">
    <w:name w:val="page number"/>
    <w:uiPriority w:val="99"/>
    <w:rsid w:val="0004493F"/>
    <w:rPr>
      <w:rFonts w:cs="Times New Roman"/>
    </w:rPr>
  </w:style>
  <w:style w:type="paragraph" w:styleId="Textedebulles">
    <w:name w:val="Balloon Text"/>
    <w:basedOn w:val="Normal"/>
    <w:link w:val="TextedebullesCar"/>
    <w:uiPriority w:val="99"/>
    <w:semiHidden/>
    <w:unhideWhenUsed/>
    <w:rsid w:val="00DE5096"/>
    <w:rPr>
      <w:rFonts w:ascii="Segoe UI" w:hAnsi="Segoe UI" w:cs="Segoe UI"/>
      <w:sz w:val="18"/>
      <w:szCs w:val="18"/>
    </w:rPr>
  </w:style>
  <w:style w:type="character" w:customStyle="1" w:styleId="TextedebullesCar">
    <w:name w:val="Texte de bulles Car"/>
    <w:link w:val="Textedebulles"/>
    <w:uiPriority w:val="99"/>
    <w:semiHidden/>
    <w:locked/>
    <w:rsid w:val="00DE5096"/>
    <w:rPr>
      <w:rFonts w:ascii="Segoe UI" w:hAnsi="Segoe UI" w:cs="Segoe UI"/>
      <w:sz w:val="18"/>
      <w:szCs w:val="18"/>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5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15805</Characters>
  <Application>Microsoft Office Word</Application>
  <DocSecurity>8</DocSecurity>
  <Lines>131</Lines>
  <Paragraphs>37</Paragraphs>
  <ScaleCrop>false</ScaleCrop>
  <HeadingPairs>
    <vt:vector size="2" baseType="variant">
      <vt:variant>
        <vt:lpstr>Titre</vt:lpstr>
      </vt:variant>
      <vt:variant>
        <vt:i4>1</vt:i4>
      </vt:variant>
    </vt:vector>
  </HeadingPairs>
  <TitlesOfParts>
    <vt:vector size="1" baseType="lpstr">
      <vt:lpstr>COUR DE CASSATION</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subject/>
  <dc:creator>user</dc:creator>
  <cp:keywords/>
  <dc:description/>
  <cp:lastModifiedBy>Joseph AUVINET</cp:lastModifiedBy>
  <cp:revision>5</cp:revision>
  <cp:lastPrinted>2019-10-30T16:24:00Z</cp:lastPrinted>
  <dcterms:created xsi:type="dcterms:W3CDTF">2019-05-09T14:00:00Z</dcterms:created>
  <dcterms:modified xsi:type="dcterms:W3CDTF">2021-04-10T18:38:00Z</dcterms:modified>
</cp:coreProperties>
</file>