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19BC" w14:textId="6A45BAE7" w:rsidR="00BF7E44" w:rsidRPr="004B7250" w:rsidRDefault="004B7250" w:rsidP="004B725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Narrow" w:hAnsi="Arial Narrow"/>
          <w:b/>
          <w:bCs/>
          <w:lang w:eastAsia="fr-FR"/>
        </w:rPr>
      </w:pPr>
      <w:r w:rsidRPr="004B7250">
        <w:rPr>
          <w:rFonts w:ascii="Arial Narrow" w:hAnsi="Arial Narrow"/>
          <w:b/>
          <w:bCs/>
          <w:lang w:eastAsia="fr-FR"/>
        </w:rPr>
        <w:t>LE CALCUL DE LA PENSION CAVIMAC</w:t>
      </w:r>
    </w:p>
    <w:p w14:paraId="168288B7" w14:textId="3BB81FE5" w:rsidR="00F97753" w:rsidRDefault="00F831DB" w:rsidP="009F2B38">
      <w:pPr>
        <w:pStyle w:val="Paragraphe12"/>
      </w:pPr>
      <w:r>
        <w:t>Extrait des conclusions déposées devant la cour d’appel de PAU le 11 février 2020</w:t>
      </w:r>
      <w:r w:rsidR="004B7250">
        <w:t>.</w:t>
      </w:r>
    </w:p>
    <w:p w14:paraId="21AC6351" w14:textId="65893D7A" w:rsidR="004B7250" w:rsidRPr="00BF7E44" w:rsidRDefault="004B7250" w:rsidP="009F2B38">
      <w:pPr>
        <w:pStyle w:val="Paragraphe12"/>
      </w:pPr>
      <w:r>
        <w:t>NB. La Cavimac opposait qu’elle devait appliquer les dispositions de l’article L 351-10 CSS (minimum de pension appelé aussi minimum contributif) aux périodes comprises entre le 1</w:t>
      </w:r>
      <w:r w:rsidRPr="004B7250">
        <w:rPr>
          <w:vertAlign w:val="superscript"/>
        </w:rPr>
        <w:t>er</w:t>
      </w:r>
      <w:r>
        <w:t xml:space="preserve"> janvier 1979 et le 31 décembre 1997.</w:t>
      </w:r>
    </w:p>
    <w:p w14:paraId="05E6D6FD" w14:textId="1C2FBB70" w:rsidR="004B7250" w:rsidRPr="004B7250" w:rsidRDefault="00DE4C0C">
      <w:pPr>
        <w:pStyle w:val="TM1"/>
        <w:tabs>
          <w:tab w:val="left" w:pos="720"/>
        </w:tabs>
        <w:rPr>
          <w:rFonts w:eastAsiaTheme="minorEastAsia" w:cstheme="minorBidi"/>
          <w:b w:val="0"/>
          <w:smallCaps w:val="0"/>
          <w:noProof/>
          <w:sz w:val="20"/>
          <w:lang w:eastAsia="fr-FR"/>
        </w:rPr>
      </w:pPr>
      <w:r w:rsidRPr="004B7250">
        <w:rPr>
          <w:b w:val="0"/>
          <w:sz w:val="20"/>
        </w:rPr>
        <w:fldChar w:fldCharType="begin"/>
      </w:r>
      <w:r w:rsidR="00480C2E" w:rsidRPr="004B7250">
        <w:rPr>
          <w:b w:val="0"/>
          <w:sz w:val="20"/>
        </w:rPr>
        <w:instrText xml:space="preserve"> TOC \o "1-2" \h \z \u </w:instrText>
      </w:r>
      <w:r w:rsidRPr="004B7250">
        <w:rPr>
          <w:b w:val="0"/>
          <w:sz w:val="20"/>
        </w:rPr>
        <w:fldChar w:fldCharType="separate"/>
      </w:r>
      <w:hyperlink w:anchor="_Toc83391252" w:history="1">
        <w:r w:rsidR="004B7250" w:rsidRPr="004B7250">
          <w:rPr>
            <w:rStyle w:val="Lienhypertexte"/>
            <w:rFonts w:ascii="Arial Narrow" w:hAnsi="Arial Narrow"/>
            <w:noProof/>
            <w:sz w:val="20"/>
          </w:rPr>
          <w:t>1.</w:t>
        </w:r>
        <w:r w:rsidR="004B7250" w:rsidRPr="004B7250">
          <w:rPr>
            <w:rFonts w:eastAsiaTheme="minorEastAsia" w:cstheme="minorBidi"/>
            <w:b w:val="0"/>
            <w:smallCaps w:val="0"/>
            <w:noProof/>
            <w:sz w:val="20"/>
            <w:lang w:eastAsia="fr-FR"/>
          </w:rPr>
          <w:tab/>
        </w:r>
        <w:r w:rsidR="004B7250" w:rsidRPr="004B7250">
          <w:rPr>
            <w:rStyle w:val="Lienhypertexte"/>
            <w:rFonts w:ascii="Arial Narrow" w:hAnsi="Arial Narrow"/>
            <w:noProof/>
            <w:sz w:val="20"/>
          </w:rPr>
          <w:t>sur le mode de calcul de ma pension</w:t>
        </w:r>
        <w:r w:rsidR="004B7250" w:rsidRPr="004B7250">
          <w:rPr>
            <w:noProof/>
            <w:webHidden/>
            <w:sz w:val="20"/>
          </w:rPr>
          <w:tab/>
        </w:r>
        <w:r w:rsidR="004B7250" w:rsidRPr="004B7250">
          <w:rPr>
            <w:noProof/>
            <w:webHidden/>
            <w:sz w:val="20"/>
          </w:rPr>
          <w:fldChar w:fldCharType="begin"/>
        </w:r>
        <w:r w:rsidR="004B7250" w:rsidRPr="004B7250">
          <w:rPr>
            <w:noProof/>
            <w:webHidden/>
            <w:sz w:val="20"/>
          </w:rPr>
          <w:instrText xml:space="preserve"> PAGEREF _Toc83391252 \h </w:instrText>
        </w:r>
        <w:r w:rsidR="004B7250" w:rsidRPr="004B7250">
          <w:rPr>
            <w:noProof/>
            <w:webHidden/>
            <w:sz w:val="20"/>
          </w:rPr>
        </w:r>
        <w:r w:rsidR="004B7250" w:rsidRPr="004B7250">
          <w:rPr>
            <w:noProof/>
            <w:webHidden/>
            <w:sz w:val="20"/>
          </w:rPr>
          <w:fldChar w:fldCharType="separate"/>
        </w:r>
        <w:r w:rsidR="004B7250" w:rsidRPr="004B7250">
          <w:rPr>
            <w:noProof/>
            <w:webHidden/>
            <w:sz w:val="20"/>
          </w:rPr>
          <w:t>2</w:t>
        </w:r>
        <w:r w:rsidR="004B7250" w:rsidRPr="004B7250">
          <w:rPr>
            <w:noProof/>
            <w:webHidden/>
            <w:sz w:val="20"/>
          </w:rPr>
          <w:fldChar w:fldCharType="end"/>
        </w:r>
      </w:hyperlink>
    </w:p>
    <w:p w14:paraId="03D2564B" w14:textId="06CBFF77" w:rsidR="004B7250" w:rsidRPr="004B7250" w:rsidRDefault="00766F5A">
      <w:pPr>
        <w:pStyle w:val="TM2"/>
        <w:rPr>
          <w:rFonts w:eastAsiaTheme="minorEastAsia" w:cstheme="minorBidi"/>
          <w:smallCaps w:val="0"/>
          <w:noProof/>
          <w:lang w:eastAsia="fr-FR"/>
        </w:rPr>
      </w:pPr>
      <w:hyperlink w:anchor="_Toc83391253" w:history="1">
        <w:r w:rsidR="004B7250" w:rsidRPr="004B7250">
          <w:rPr>
            <w:rStyle w:val="Lienhypertexte"/>
            <w:rFonts w:ascii="Arial Narrow" w:hAnsi="Arial Narrow"/>
            <w:noProof/>
          </w:rPr>
          <w:t>1.1.</w:t>
        </w:r>
        <w:r w:rsidR="004B7250" w:rsidRPr="004B7250">
          <w:rPr>
            <w:rFonts w:eastAsiaTheme="minorEastAsia" w:cstheme="minorBidi"/>
            <w:smallCaps w:val="0"/>
            <w:noProof/>
            <w:lang w:eastAsia="fr-FR"/>
          </w:rPr>
          <w:tab/>
        </w:r>
        <w:r w:rsidR="004B7250" w:rsidRPr="004B7250">
          <w:rPr>
            <w:rStyle w:val="Lienhypertexte"/>
            <w:rFonts w:ascii="Arial Narrow" w:hAnsi="Arial Narrow"/>
            <w:noProof/>
          </w:rPr>
          <w:t>Le mode de calcul de la pension Cavimac et son évolution depuis 1979</w:t>
        </w:r>
        <w:r w:rsidR="004B7250" w:rsidRPr="004B7250">
          <w:rPr>
            <w:noProof/>
            <w:webHidden/>
          </w:rPr>
          <w:tab/>
        </w:r>
        <w:r w:rsidR="004B7250" w:rsidRPr="004B7250">
          <w:rPr>
            <w:noProof/>
            <w:webHidden/>
          </w:rPr>
          <w:fldChar w:fldCharType="begin"/>
        </w:r>
        <w:r w:rsidR="004B7250" w:rsidRPr="004B7250">
          <w:rPr>
            <w:noProof/>
            <w:webHidden/>
          </w:rPr>
          <w:instrText xml:space="preserve"> PAGEREF _Toc83391253 \h </w:instrText>
        </w:r>
        <w:r w:rsidR="004B7250" w:rsidRPr="004B7250">
          <w:rPr>
            <w:noProof/>
            <w:webHidden/>
          </w:rPr>
        </w:r>
        <w:r w:rsidR="004B7250" w:rsidRPr="004B7250">
          <w:rPr>
            <w:noProof/>
            <w:webHidden/>
          </w:rPr>
          <w:fldChar w:fldCharType="separate"/>
        </w:r>
        <w:r w:rsidR="004B7250" w:rsidRPr="004B7250">
          <w:rPr>
            <w:noProof/>
            <w:webHidden/>
          </w:rPr>
          <w:t>2</w:t>
        </w:r>
        <w:r w:rsidR="004B7250" w:rsidRPr="004B7250">
          <w:rPr>
            <w:noProof/>
            <w:webHidden/>
          </w:rPr>
          <w:fldChar w:fldCharType="end"/>
        </w:r>
      </w:hyperlink>
    </w:p>
    <w:p w14:paraId="37453F6F" w14:textId="68B1DC6F" w:rsidR="004B7250" w:rsidRPr="004B7250" w:rsidRDefault="00766F5A">
      <w:pPr>
        <w:pStyle w:val="TM2"/>
        <w:rPr>
          <w:rFonts w:eastAsiaTheme="minorEastAsia" w:cstheme="minorBidi"/>
          <w:smallCaps w:val="0"/>
          <w:noProof/>
          <w:lang w:eastAsia="fr-FR"/>
        </w:rPr>
      </w:pPr>
      <w:hyperlink w:anchor="_Toc83391254" w:history="1">
        <w:r w:rsidR="004B7250" w:rsidRPr="004B7250">
          <w:rPr>
            <w:rStyle w:val="Lienhypertexte"/>
            <w:rFonts w:ascii="Arial Narrow" w:hAnsi="Arial Narrow"/>
            <w:noProof/>
          </w:rPr>
          <w:t>1.2.</w:t>
        </w:r>
        <w:r w:rsidR="004B7250" w:rsidRPr="004B7250">
          <w:rPr>
            <w:rFonts w:eastAsiaTheme="minorEastAsia" w:cstheme="minorBidi"/>
            <w:smallCaps w:val="0"/>
            <w:noProof/>
            <w:lang w:eastAsia="fr-FR"/>
          </w:rPr>
          <w:tab/>
        </w:r>
        <w:r w:rsidR="004B7250" w:rsidRPr="004B7250">
          <w:rPr>
            <w:rStyle w:val="Lienhypertexte"/>
            <w:rFonts w:ascii="Arial Narrow" w:hAnsi="Arial Narrow"/>
            <w:noProof/>
          </w:rPr>
          <w:t>L’article L 351-10 CSS n’est pas applicable à la période 1979-1997</w:t>
        </w:r>
        <w:r w:rsidR="004B7250" w:rsidRPr="004B7250">
          <w:rPr>
            <w:noProof/>
            <w:webHidden/>
          </w:rPr>
          <w:tab/>
        </w:r>
        <w:r w:rsidR="004B7250" w:rsidRPr="004B7250">
          <w:rPr>
            <w:noProof/>
            <w:webHidden/>
          </w:rPr>
          <w:fldChar w:fldCharType="begin"/>
        </w:r>
        <w:r w:rsidR="004B7250" w:rsidRPr="004B7250">
          <w:rPr>
            <w:noProof/>
            <w:webHidden/>
          </w:rPr>
          <w:instrText xml:space="preserve"> PAGEREF _Toc83391254 \h </w:instrText>
        </w:r>
        <w:r w:rsidR="004B7250" w:rsidRPr="004B7250">
          <w:rPr>
            <w:noProof/>
            <w:webHidden/>
          </w:rPr>
        </w:r>
        <w:r w:rsidR="004B7250" w:rsidRPr="004B7250">
          <w:rPr>
            <w:noProof/>
            <w:webHidden/>
          </w:rPr>
          <w:fldChar w:fldCharType="separate"/>
        </w:r>
        <w:r w:rsidR="004B7250" w:rsidRPr="004B7250">
          <w:rPr>
            <w:noProof/>
            <w:webHidden/>
          </w:rPr>
          <w:t>6</w:t>
        </w:r>
        <w:r w:rsidR="004B7250" w:rsidRPr="004B7250">
          <w:rPr>
            <w:noProof/>
            <w:webHidden/>
          </w:rPr>
          <w:fldChar w:fldCharType="end"/>
        </w:r>
      </w:hyperlink>
    </w:p>
    <w:p w14:paraId="769F4409" w14:textId="1A847CD4" w:rsidR="004B7250" w:rsidRPr="004B7250" w:rsidRDefault="00766F5A">
      <w:pPr>
        <w:pStyle w:val="TM2"/>
        <w:rPr>
          <w:rFonts w:eastAsiaTheme="minorEastAsia" w:cstheme="minorBidi"/>
          <w:smallCaps w:val="0"/>
          <w:noProof/>
          <w:lang w:eastAsia="fr-FR"/>
        </w:rPr>
      </w:pPr>
      <w:hyperlink w:anchor="_Toc83391255" w:history="1">
        <w:r w:rsidR="004B7250" w:rsidRPr="004B7250">
          <w:rPr>
            <w:rStyle w:val="Lienhypertexte"/>
            <w:rFonts w:ascii="Arial Narrow" w:hAnsi="Arial Narrow"/>
            <w:noProof/>
          </w:rPr>
          <w:t>1.3.</w:t>
        </w:r>
        <w:r w:rsidR="004B7250" w:rsidRPr="004B7250">
          <w:rPr>
            <w:rFonts w:eastAsiaTheme="minorEastAsia" w:cstheme="minorBidi"/>
            <w:smallCaps w:val="0"/>
            <w:noProof/>
            <w:lang w:eastAsia="fr-FR"/>
          </w:rPr>
          <w:tab/>
        </w:r>
        <w:r w:rsidR="004B7250" w:rsidRPr="004B7250">
          <w:rPr>
            <w:rStyle w:val="Lienhypertexte"/>
            <w:rFonts w:ascii="Arial Narrow" w:hAnsi="Arial Narrow"/>
            <w:noProof/>
          </w:rPr>
          <w:t>Le montant de ma pension</w:t>
        </w:r>
        <w:r w:rsidR="004B7250" w:rsidRPr="004B7250">
          <w:rPr>
            <w:noProof/>
            <w:webHidden/>
          </w:rPr>
          <w:tab/>
        </w:r>
        <w:r w:rsidR="004B7250" w:rsidRPr="004B7250">
          <w:rPr>
            <w:noProof/>
            <w:webHidden/>
          </w:rPr>
          <w:fldChar w:fldCharType="begin"/>
        </w:r>
        <w:r w:rsidR="004B7250" w:rsidRPr="004B7250">
          <w:rPr>
            <w:noProof/>
            <w:webHidden/>
          </w:rPr>
          <w:instrText xml:space="preserve"> PAGEREF _Toc83391255 \h </w:instrText>
        </w:r>
        <w:r w:rsidR="004B7250" w:rsidRPr="004B7250">
          <w:rPr>
            <w:noProof/>
            <w:webHidden/>
          </w:rPr>
        </w:r>
        <w:r w:rsidR="004B7250" w:rsidRPr="004B7250">
          <w:rPr>
            <w:noProof/>
            <w:webHidden/>
          </w:rPr>
          <w:fldChar w:fldCharType="separate"/>
        </w:r>
        <w:r w:rsidR="004B7250" w:rsidRPr="004B7250">
          <w:rPr>
            <w:noProof/>
            <w:webHidden/>
          </w:rPr>
          <w:t>8</w:t>
        </w:r>
        <w:r w:rsidR="004B7250" w:rsidRPr="004B7250">
          <w:rPr>
            <w:noProof/>
            <w:webHidden/>
          </w:rPr>
          <w:fldChar w:fldCharType="end"/>
        </w:r>
      </w:hyperlink>
    </w:p>
    <w:p w14:paraId="7DDA06A3" w14:textId="57020EBF" w:rsidR="00076AE1" w:rsidRPr="006A4176" w:rsidRDefault="00DE4C0C" w:rsidP="009F2B38">
      <w:pPr>
        <w:spacing w:line="230" w:lineRule="auto"/>
        <w:rPr>
          <w:rFonts w:ascii="Arial Narrow" w:eastAsia="Calibri" w:hAnsi="Arial Narrow"/>
          <w:b/>
          <w:bCs/>
          <w:caps/>
          <w:noProof/>
          <w:kern w:val="28"/>
          <w:sz w:val="20"/>
        </w:rPr>
      </w:pPr>
      <w:r w:rsidRPr="004B7250">
        <w:rPr>
          <w:rFonts w:ascii="Arial Narrow" w:hAnsi="Arial Narrow"/>
          <w:smallCaps/>
          <w:sz w:val="20"/>
        </w:rPr>
        <w:fldChar w:fldCharType="end"/>
      </w:r>
      <w:bookmarkStart w:id="0" w:name="HIT14"/>
      <w:bookmarkStart w:id="1" w:name="HIT15"/>
      <w:bookmarkStart w:id="2" w:name="HIT16"/>
      <w:bookmarkStart w:id="3" w:name="HIT17"/>
      <w:bookmarkStart w:id="4" w:name="_Toc300854158"/>
      <w:bookmarkStart w:id="5" w:name="_Toc300856811"/>
      <w:bookmarkEnd w:id="0"/>
      <w:bookmarkEnd w:id="1"/>
      <w:bookmarkEnd w:id="2"/>
      <w:bookmarkEnd w:id="3"/>
      <w:bookmarkEnd w:id="4"/>
      <w:bookmarkEnd w:id="5"/>
    </w:p>
    <w:p w14:paraId="303DA84E" w14:textId="06E42FCA" w:rsidR="00992D84" w:rsidRDefault="00756CF3" w:rsidP="009F2B38">
      <w:pPr>
        <w:spacing w:before="0"/>
        <w:rPr>
          <w:rFonts w:ascii="Arial Narrow" w:eastAsia="Calibri" w:hAnsi="Arial Narrow"/>
          <w:b/>
          <w:bCs/>
          <w:caps/>
          <w:noProof/>
          <w:kern w:val="28"/>
          <w:sz w:val="28"/>
          <w:szCs w:val="28"/>
        </w:rPr>
      </w:pPr>
      <w:r>
        <w:t xml:space="preserve"> </w:t>
      </w:r>
      <w:r w:rsidR="00992D84">
        <w:br w:type="page"/>
      </w:r>
    </w:p>
    <w:p w14:paraId="1028BA40" w14:textId="77777777" w:rsidR="004F543E" w:rsidRDefault="004F543E" w:rsidP="009F2B38">
      <w:pPr>
        <w:pStyle w:val="Titre1"/>
      </w:pPr>
      <w:bookmarkStart w:id="6" w:name="_Toc412836140"/>
      <w:bookmarkStart w:id="7" w:name="_Toc83391252"/>
      <w:bookmarkStart w:id="8" w:name="_Toc331150077"/>
      <w:bookmarkStart w:id="9" w:name="_Toc345445508"/>
      <w:r w:rsidRPr="004F543E">
        <w:lastRenderedPageBreak/>
        <w:t>sur le mode de calcul de ma pension</w:t>
      </w:r>
      <w:bookmarkEnd w:id="6"/>
      <w:bookmarkEnd w:id="7"/>
    </w:p>
    <w:p w14:paraId="057DD8C2" w14:textId="49E40890" w:rsidR="00E729DE" w:rsidRDefault="009161FD" w:rsidP="009F2B38">
      <w:pPr>
        <w:pStyle w:val="Corpsdetexte"/>
        <w:rPr>
          <w:lang w:eastAsia="fr-FR"/>
        </w:rPr>
      </w:pPr>
      <w:r>
        <w:rPr>
          <w:lang w:eastAsia="fr-FR"/>
        </w:rPr>
        <w:t>L</w:t>
      </w:r>
      <w:r w:rsidRPr="009161FD">
        <w:rPr>
          <w:lang w:eastAsia="fr-FR"/>
        </w:rPr>
        <w:t xml:space="preserve">e mode de calcul de </w:t>
      </w:r>
      <w:r>
        <w:rPr>
          <w:lang w:eastAsia="fr-FR"/>
        </w:rPr>
        <w:t>la</w:t>
      </w:r>
      <w:r w:rsidRPr="009161FD">
        <w:rPr>
          <w:lang w:eastAsia="fr-FR"/>
        </w:rPr>
        <w:t xml:space="preserve"> pension Cavimac </w:t>
      </w:r>
      <w:r>
        <w:rPr>
          <w:lang w:eastAsia="fr-FR"/>
        </w:rPr>
        <w:t>est</w:t>
      </w:r>
      <w:r w:rsidRPr="009161FD">
        <w:rPr>
          <w:lang w:eastAsia="fr-FR"/>
        </w:rPr>
        <w:t xml:space="preserve"> </w:t>
      </w:r>
      <w:r w:rsidR="000D7D13">
        <w:rPr>
          <w:lang w:eastAsia="fr-FR"/>
        </w:rPr>
        <w:t>complexe</w:t>
      </w:r>
      <w:r>
        <w:rPr>
          <w:lang w:eastAsia="fr-FR"/>
        </w:rPr>
        <w:t>.</w:t>
      </w:r>
      <w:r w:rsidR="00902D83">
        <w:rPr>
          <w:lang w:eastAsia="fr-FR"/>
        </w:rPr>
        <w:t xml:space="preserve"> </w:t>
      </w:r>
      <w:r w:rsidR="00E729DE">
        <w:rPr>
          <w:lang w:eastAsia="fr-FR"/>
        </w:rPr>
        <w:t xml:space="preserve">En premier lieu, </w:t>
      </w:r>
      <w:r w:rsidR="00366517">
        <w:rPr>
          <w:lang w:eastAsia="fr-FR"/>
        </w:rPr>
        <w:t xml:space="preserve">j’en exposerai </w:t>
      </w:r>
      <w:r w:rsidR="00721ACD">
        <w:rPr>
          <w:lang w:eastAsia="fr-FR"/>
        </w:rPr>
        <w:t xml:space="preserve">les </w:t>
      </w:r>
      <w:r w:rsidR="00325556">
        <w:rPr>
          <w:lang w:eastAsia="fr-FR"/>
        </w:rPr>
        <w:t>modalités, lesquelles résultent d’une succession de revalorisations partielles d’une pension extrêmement faible.</w:t>
      </w:r>
      <w:r w:rsidR="00902D83">
        <w:rPr>
          <w:lang w:eastAsia="fr-FR"/>
        </w:rPr>
        <w:t xml:space="preserve"> </w:t>
      </w:r>
      <w:r w:rsidR="00E729DE">
        <w:t>En second lieu,</w:t>
      </w:r>
      <w:r w:rsidR="00F42A01">
        <w:t xml:space="preserve"> je montrerai que </w:t>
      </w:r>
      <w:r w:rsidR="00325556">
        <w:t xml:space="preserve">les dispositions de l’article L 351-10 CSS ne sont pas applicables à la fraction de pension afférente à la période 1979-1997 et que le mode de calcul </w:t>
      </w:r>
      <w:r>
        <w:t>effectué par la Cavimac</w:t>
      </w:r>
      <w:r w:rsidR="00E729DE">
        <w:t xml:space="preserve"> </w:t>
      </w:r>
      <w:r>
        <w:t xml:space="preserve">(Cf. </w:t>
      </w:r>
      <w:r w:rsidRPr="00701426">
        <w:rPr>
          <w:b/>
        </w:rPr>
        <w:t>Pièce</w:t>
      </w:r>
      <w:r>
        <w:rPr>
          <w:b/>
        </w:rPr>
        <w:t xml:space="preserve"> 5</w:t>
      </w:r>
      <w:r w:rsidRPr="00701426">
        <w:rPr>
          <w:b/>
        </w:rPr>
        <w:t>b</w:t>
      </w:r>
      <w:r>
        <w:t>)</w:t>
      </w:r>
      <w:r w:rsidR="00721ACD">
        <w:t>,</w:t>
      </w:r>
      <w:r>
        <w:t xml:space="preserve"> </w:t>
      </w:r>
      <w:r w:rsidR="00E729DE">
        <w:t>n’est pas conforme à la législation.</w:t>
      </w:r>
      <w:r w:rsidR="00C47FC2">
        <w:t xml:space="preserve"> Enfin, j’exposerai le mode de calcul de ma pension tel qu’il découle de la réglementation.</w:t>
      </w:r>
    </w:p>
    <w:p w14:paraId="47F14419" w14:textId="77777777" w:rsidR="004F543E" w:rsidRPr="004F543E" w:rsidRDefault="00E729DE" w:rsidP="009F2B38">
      <w:pPr>
        <w:pStyle w:val="Titre2"/>
      </w:pPr>
      <w:bookmarkStart w:id="10" w:name="_Toc412836141"/>
      <w:bookmarkStart w:id="11" w:name="_Toc83391253"/>
      <w:r>
        <w:t>Le</w:t>
      </w:r>
      <w:r w:rsidR="004F543E" w:rsidRPr="004F543E">
        <w:t xml:space="preserve"> mode de calcul de la pension Cavimac</w:t>
      </w:r>
      <w:bookmarkEnd w:id="10"/>
      <w:r>
        <w:t xml:space="preserve"> et son évolution depuis 1979</w:t>
      </w:r>
      <w:bookmarkEnd w:id="11"/>
    </w:p>
    <w:p w14:paraId="0DCE40B6" w14:textId="77777777" w:rsidR="006503E8" w:rsidRDefault="006503E8" w:rsidP="009F2B38">
      <w:pPr>
        <w:pStyle w:val="Paragraphe12"/>
        <w:rPr>
          <w:rFonts w:eastAsia="Calibri"/>
        </w:rPr>
      </w:pPr>
      <w:r w:rsidRPr="004F543E">
        <w:rPr>
          <w:rFonts w:eastAsia="Calibri"/>
        </w:rPr>
        <w:t>Lors de la création de la caisse des cultes par la loi 78-4 du 2 janvier 1978, le culte catholique</w:t>
      </w:r>
      <w:r>
        <w:rPr>
          <w:rFonts w:eastAsia="Calibri"/>
        </w:rPr>
        <w:t xml:space="preserve"> </w:t>
      </w:r>
      <w:r w:rsidRPr="004F543E">
        <w:rPr>
          <w:rFonts w:eastAsia="Calibri"/>
        </w:rPr>
        <w:t>a imposé sa volonté de verser des cotisations faibles</w:t>
      </w:r>
      <w:r>
        <w:rPr>
          <w:rFonts w:eastAsia="Calibri"/>
        </w:rPr>
        <w:t>. La maigre pension qui en a résulté a exigé plusieurs</w:t>
      </w:r>
      <w:r w:rsidRPr="004F543E">
        <w:rPr>
          <w:rFonts w:eastAsia="Calibri"/>
        </w:rPr>
        <w:t xml:space="preserve"> ajustements.</w:t>
      </w:r>
    </w:p>
    <w:p w14:paraId="3C95407D" w14:textId="77777777" w:rsidR="006503E8" w:rsidRDefault="006503E8" w:rsidP="009F2B38">
      <w:pPr>
        <w:pStyle w:val="Titre3"/>
      </w:pPr>
      <w:bookmarkStart w:id="12" w:name="_Toc511477542"/>
      <w:r>
        <w:t xml:space="preserve">Une </w:t>
      </w:r>
      <w:r w:rsidRPr="001A44A6">
        <w:t>pension</w:t>
      </w:r>
      <w:r>
        <w:t xml:space="preserve"> initialement très faible</w:t>
      </w:r>
      <w:bookmarkEnd w:id="12"/>
    </w:p>
    <w:p w14:paraId="44D7C1FE" w14:textId="77777777" w:rsidR="006503E8" w:rsidRDefault="006503E8" w:rsidP="009F2B38">
      <w:pPr>
        <w:pStyle w:val="Paragraphe12"/>
      </w:pPr>
      <w:r w:rsidRPr="003D2158">
        <w:t>Les débats parlem</w:t>
      </w:r>
      <w:r>
        <w:t xml:space="preserve">entaires, qui ont conduit à la loi 78-4 </w:t>
      </w:r>
      <w:r w:rsidRPr="003D2158">
        <w:t xml:space="preserve">du 2 janvier 1978, s’étaient ouverts sur l’objectif </w:t>
      </w:r>
      <w:r>
        <w:t xml:space="preserve">d’un alignement de la pension </w:t>
      </w:r>
      <w:r w:rsidRPr="003D2158">
        <w:t>sur le montant du minimum vieillesse</w:t>
      </w:r>
      <w:r>
        <w:t>, m</w:t>
      </w:r>
      <w:r w:rsidRPr="003D2158">
        <w:t>ais au cours des d</w:t>
      </w:r>
      <w:r>
        <w:t>ébats, le culte catholique a</w:t>
      </w:r>
      <w:r w:rsidRPr="003D2158">
        <w:t xml:space="preserve"> fait valoir que cet alignement nécessitait </w:t>
      </w:r>
      <w:r>
        <w:t>un niveau de cotisations trop élevé pour ses institutions.</w:t>
      </w:r>
    </w:p>
    <w:p w14:paraId="243A0B29" w14:textId="77777777" w:rsidR="006503E8" w:rsidRDefault="006503E8" w:rsidP="009F2B38">
      <w:pPr>
        <w:pStyle w:val="Paragraphe12"/>
      </w:pPr>
      <w:r w:rsidRPr="006503E8">
        <w:rPr>
          <w:spacing w:val="-2"/>
        </w:rPr>
        <w:t>Malgré la réticence de nombreux parlementaires, la pension a été alignée sur l’allocation vieux travailleurs salariés.</w:t>
      </w:r>
      <w:r>
        <w:t xml:space="preserve"> Le</w:t>
      </w:r>
      <w:r w:rsidRPr="003D2158">
        <w:t xml:space="preserve"> culte catholique s’engageait à </w:t>
      </w:r>
      <w:r>
        <w:t>augmenter</w:t>
      </w:r>
      <w:r w:rsidRPr="003D2158">
        <w:t xml:space="preserve"> progressivement ses cotisations </w:t>
      </w:r>
      <w:r>
        <w:t>afin d’atteindre une</w:t>
      </w:r>
      <w:r w:rsidRPr="003D2158">
        <w:t xml:space="preserve"> pension </w:t>
      </w:r>
      <w:r>
        <w:t>au niveau du minimum vieillesse (11 000 francs).</w:t>
      </w:r>
    </w:p>
    <w:p w14:paraId="61CAEE39" w14:textId="77777777" w:rsidR="006503E8" w:rsidRPr="004F543E" w:rsidRDefault="006503E8" w:rsidP="009F2B38">
      <w:pPr>
        <w:pStyle w:val="Paragraphe12"/>
        <w:rPr>
          <w:rFonts w:eastAsia="Calibri"/>
        </w:rPr>
      </w:pPr>
      <w:r>
        <w:t>C’est ainsi que l’article 39 du décret 79-607 a fixé le « maximum de pension » à 7 500 francs annuels</w:t>
      </w:r>
      <w:r>
        <w:rPr>
          <w:rStyle w:val="Appelnotedebasdep"/>
        </w:rPr>
        <w:footnoteReference w:id="1"/>
      </w:r>
      <w:r>
        <w:t>.</w:t>
      </w:r>
    </w:p>
    <w:p w14:paraId="4121E1BD" w14:textId="77777777" w:rsidR="006503E8" w:rsidRDefault="006503E8" w:rsidP="009F2B38">
      <w:pPr>
        <w:pStyle w:val="Paragraphe12"/>
      </w:pPr>
      <w:r>
        <w:t>Le problème initial est donc celui d’une pension très faible. Cette faiblesse entraînera 3 ajustements successifs (en 1998, 2006 et 2010), qui sont à l’origine de la complexité du calcul de la pension Cavimac.</w:t>
      </w:r>
    </w:p>
    <w:p w14:paraId="4BDDF21E" w14:textId="77777777" w:rsidR="006503E8" w:rsidRDefault="006503E8" w:rsidP="009F2B38">
      <w:pPr>
        <w:pStyle w:val="Titre3"/>
      </w:pPr>
      <w:bookmarkStart w:id="13" w:name="_Toc511477543"/>
      <w:r>
        <w:t>L’ajustement</w:t>
      </w:r>
      <w:r w:rsidRPr="004F543E">
        <w:t xml:space="preserve"> de 1998 : intégration </w:t>
      </w:r>
      <w:r>
        <w:t xml:space="preserve">des périodes postérieures au 31/12/1997 </w:t>
      </w:r>
      <w:r w:rsidRPr="004F543E">
        <w:t>dans le régime général</w:t>
      </w:r>
      <w:bookmarkEnd w:id="13"/>
    </w:p>
    <w:p w14:paraId="1C9E364D" w14:textId="77777777" w:rsidR="006503E8" w:rsidRPr="001A44A6" w:rsidRDefault="006503E8" w:rsidP="009F2B38">
      <w:pPr>
        <w:pStyle w:val="Paragraphe12"/>
        <w:rPr>
          <w:rFonts w:eastAsia="Calibri"/>
        </w:rPr>
      </w:pPr>
      <w:r w:rsidRPr="001A44A6">
        <w:rPr>
          <w:rFonts w:eastAsia="Calibri"/>
        </w:rPr>
        <w:t xml:space="preserve">En 1997, presque 20 ans après la création de la Caisse, le culte catholique n’a pas tenu sa promesse d’augmenter ses cotisations. De plus, la situation financière de ladite Caisse s’est fortement dégradée du fait de son rapport démographique (3 retraités pour un cotisant). </w:t>
      </w:r>
    </w:p>
    <w:p w14:paraId="7C95F3CC" w14:textId="77777777" w:rsidR="006503E8" w:rsidRDefault="006503E8" w:rsidP="009F2B38">
      <w:pPr>
        <w:pStyle w:val="Paragraphe12"/>
      </w:pPr>
      <w:r w:rsidRPr="001A44A6">
        <w:t>C’est dans ce contexte qu’intervient la loi 97-1164 du 19 décembre 1997.</w:t>
      </w:r>
      <w:r>
        <w:t xml:space="preserve"> Celle-ci a réalisé l’intégration financière </w:t>
      </w:r>
      <w:r w:rsidRPr="0021339A">
        <w:rPr>
          <w:spacing w:val="-2"/>
        </w:rPr>
        <w:t>du régim</w:t>
      </w:r>
      <w:r w:rsidR="0021339A" w:rsidRPr="0021339A">
        <w:rPr>
          <w:spacing w:val="-2"/>
        </w:rPr>
        <w:t>e</w:t>
      </w:r>
      <w:r w:rsidRPr="0021339A">
        <w:rPr>
          <w:spacing w:val="-2"/>
        </w:rPr>
        <w:t xml:space="preserve"> vieillesse dans le régime général : les réserves financières de la Camavic ont été transférées au régime</w:t>
      </w:r>
      <w:r>
        <w:t xml:space="preserve"> général, les taux des cotisations ont été relevés et alignés sur ceux du régime général, les règles de liquidation des pensions (pour les périodes postérieures au 1</w:t>
      </w:r>
      <w:r w:rsidRPr="00072349">
        <w:rPr>
          <w:vertAlign w:val="superscript"/>
        </w:rPr>
        <w:t>er</w:t>
      </w:r>
      <w:r>
        <w:t xml:space="preserve"> janvier 1998) ont été alignées sur celles du régime général.</w:t>
      </w:r>
    </w:p>
    <w:p w14:paraId="1FB6D26C" w14:textId="77777777" w:rsidR="006503E8" w:rsidRPr="0003506F" w:rsidRDefault="006503E8" w:rsidP="009F2B38">
      <w:pPr>
        <w:pStyle w:val="Titre5"/>
        <w:rPr>
          <w:sz w:val="22"/>
          <w:szCs w:val="22"/>
        </w:rPr>
      </w:pPr>
      <w:r w:rsidRPr="0003506F">
        <w:rPr>
          <w:sz w:val="22"/>
          <w:szCs w:val="22"/>
        </w:rPr>
        <w:t>La loi a limité l’application de l’article L 351-10 aux seules périodes postérieures au 1</w:t>
      </w:r>
      <w:r w:rsidRPr="0003506F">
        <w:rPr>
          <w:sz w:val="22"/>
          <w:szCs w:val="22"/>
          <w:vertAlign w:val="superscript"/>
        </w:rPr>
        <w:t>er</w:t>
      </w:r>
      <w:r w:rsidRPr="0003506F">
        <w:rPr>
          <w:sz w:val="22"/>
          <w:szCs w:val="22"/>
        </w:rPr>
        <w:t xml:space="preserve"> janvier 1998</w:t>
      </w:r>
    </w:p>
    <w:p w14:paraId="43B32FB5" w14:textId="77777777" w:rsidR="006503E8" w:rsidRPr="001A44A6" w:rsidRDefault="006503E8" w:rsidP="009F2B38">
      <w:pPr>
        <w:jc w:val="both"/>
        <w:rPr>
          <w:rFonts w:ascii="Arial Narrow" w:eastAsia="Calibri" w:hAnsi="Arial Narrow"/>
          <w:sz w:val="22"/>
          <w:szCs w:val="24"/>
        </w:rPr>
      </w:pPr>
      <w:r w:rsidRPr="001A44A6">
        <w:rPr>
          <w:rFonts w:ascii="Arial Narrow" w:eastAsia="Calibri" w:hAnsi="Arial Narrow"/>
          <w:sz w:val="22"/>
          <w:szCs w:val="24"/>
        </w:rPr>
        <w:t xml:space="preserve">Les débats parlementaires indiquent : </w:t>
      </w:r>
    </w:p>
    <w:p w14:paraId="4C3A0E9E" w14:textId="77777777" w:rsidR="006503E8" w:rsidRPr="001A44A6" w:rsidRDefault="006503E8" w:rsidP="009F2B38">
      <w:pPr>
        <w:spacing w:before="60"/>
        <w:ind w:left="284"/>
        <w:jc w:val="both"/>
        <w:rPr>
          <w:rFonts w:ascii="Arial Narrow" w:eastAsia="Calibri" w:hAnsi="Arial Narrow"/>
          <w:bCs/>
          <w:i/>
          <w:sz w:val="22"/>
          <w:szCs w:val="22"/>
          <w:u w:val="single"/>
          <w:lang w:eastAsia="fr-FR"/>
        </w:rPr>
      </w:pPr>
      <w:r w:rsidRPr="001A44A6">
        <w:rPr>
          <w:rFonts w:ascii="Arial Narrow" w:eastAsia="Calibri" w:hAnsi="Arial Narrow"/>
          <w:bCs/>
          <w:i/>
          <w:sz w:val="22"/>
          <w:szCs w:val="22"/>
          <w:lang w:eastAsia="fr-FR"/>
        </w:rPr>
        <w:t xml:space="preserve">« Actuellement, la pension versée est égale à 23 449 francs par an pour 150 trimestres de cotisations et est proratisée en-deçà. </w:t>
      </w:r>
      <w:r w:rsidRPr="001A44A6">
        <w:rPr>
          <w:rFonts w:ascii="Arial Narrow" w:eastAsia="Calibri" w:hAnsi="Arial Narrow"/>
          <w:bCs/>
          <w:i/>
          <w:sz w:val="22"/>
          <w:szCs w:val="22"/>
          <w:u w:val="single"/>
          <w:lang w:eastAsia="fr-FR"/>
        </w:rPr>
        <w:t>Ces règles de liquidation sont maintenues pour les périodes d’assurance antérieures au 1</w:t>
      </w:r>
      <w:r w:rsidRPr="001A44A6">
        <w:rPr>
          <w:rFonts w:ascii="Arial Narrow" w:eastAsia="Calibri" w:hAnsi="Arial Narrow"/>
          <w:bCs/>
          <w:i/>
          <w:sz w:val="22"/>
          <w:szCs w:val="22"/>
          <w:u w:val="single"/>
          <w:vertAlign w:val="superscript"/>
          <w:lang w:eastAsia="fr-FR"/>
        </w:rPr>
        <w:t>er</w:t>
      </w:r>
      <w:r w:rsidRPr="001A44A6">
        <w:rPr>
          <w:rFonts w:ascii="Arial Narrow" w:eastAsia="Calibri" w:hAnsi="Arial Narrow"/>
          <w:bCs/>
          <w:i/>
          <w:sz w:val="22"/>
          <w:szCs w:val="22"/>
          <w:u w:val="single"/>
          <w:lang w:eastAsia="fr-FR"/>
        </w:rPr>
        <w:t> janvier 1998</w:t>
      </w:r>
      <w:r w:rsidRPr="001A44A6">
        <w:rPr>
          <w:rFonts w:ascii="Arial Narrow" w:eastAsia="Calibri" w:hAnsi="Arial Narrow"/>
          <w:bCs/>
          <w:i/>
          <w:sz w:val="22"/>
          <w:szCs w:val="22"/>
          <w:lang w:eastAsia="fr-FR"/>
        </w:rPr>
        <w:t>, les montants maximum et minimum de pension étant toutefois revalorisés dans les mêmes conditions que les pensions de retraite servies par le régime général.</w:t>
      </w:r>
    </w:p>
    <w:p w14:paraId="6A4F9166" w14:textId="77777777" w:rsidR="006503E8" w:rsidRPr="001A44A6" w:rsidRDefault="006503E8" w:rsidP="009F2B38">
      <w:pPr>
        <w:spacing w:before="60"/>
        <w:ind w:left="284"/>
        <w:jc w:val="both"/>
        <w:rPr>
          <w:rFonts w:ascii="Arial Narrow" w:eastAsia="Calibri" w:hAnsi="Arial Narrow"/>
          <w:bCs/>
          <w:i/>
          <w:sz w:val="22"/>
          <w:szCs w:val="22"/>
          <w:lang w:eastAsia="fr-FR"/>
        </w:rPr>
      </w:pPr>
      <w:r w:rsidRPr="001A44A6">
        <w:rPr>
          <w:rFonts w:ascii="Arial Narrow" w:eastAsia="Calibri" w:hAnsi="Arial Narrow"/>
          <w:bCs/>
          <w:i/>
          <w:sz w:val="22"/>
          <w:szCs w:val="22"/>
          <w:lang w:eastAsia="fr-FR"/>
        </w:rPr>
        <w:t>Les droits acquis après le 1</w:t>
      </w:r>
      <w:r w:rsidRPr="001A44A6">
        <w:rPr>
          <w:rFonts w:ascii="Arial Narrow" w:eastAsia="Calibri" w:hAnsi="Arial Narrow"/>
          <w:bCs/>
          <w:i/>
          <w:sz w:val="22"/>
          <w:szCs w:val="22"/>
          <w:vertAlign w:val="superscript"/>
          <w:lang w:eastAsia="fr-FR"/>
        </w:rPr>
        <w:t>er</w:t>
      </w:r>
      <w:r w:rsidRPr="001A44A6">
        <w:rPr>
          <w:rFonts w:ascii="Arial Narrow" w:eastAsia="Calibri" w:hAnsi="Arial Narrow"/>
          <w:bCs/>
          <w:i/>
          <w:sz w:val="22"/>
          <w:szCs w:val="22"/>
          <w:lang w:eastAsia="fr-FR"/>
        </w:rPr>
        <w:t xml:space="preserve"> janvier 1998 seront calculés en application des règles en vigueur dans le régime général… »</w:t>
      </w:r>
    </w:p>
    <w:p w14:paraId="077AB00C" w14:textId="54A146B4" w:rsidR="00C47FC2" w:rsidRDefault="006503E8" w:rsidP="009F2B38">
      <w:pPr>
        <w:spacing w:before="0"/>
        <w:ind w:left="284"/>
        <w:jc w:val="right"/>
        <w:rPr>
          <w:rFonts w:eastAsia="Calibri"/>
        </w:rPr>
      </w:pPr>
      <w:r w:rsidRPr="001A44A6">
        <w:rPr>
          <w:rFonts w:ascii="Arial Narrow" w:eastAsia="Calibri" w:hAnsi="Arial Narrow"/>
          <w:b/>
          <w:sz w:val="22"/>
          <w:szCs w:val="22"/>
          <w:lang w:eastAsia="fr-FR"/>
        </w:rPr>
        <w:t xml:space="preserve">Pièce </w:t>
      </w:r>
      <w:r w:rsidR="00F84E8B">
        <w:rPr>
          <w:rFonts w:ascii="Arial Narrow" w:eastAsia="Calibri" w:hAnsi="Arial Narrow"/>
          <w:b/>
          <w:sz w:val="22"/>
          <w:szCs w:val="22"/>
          <w:lang w:eastAsia="fr-FR"/>
        </w:rPr>
        <w:t>50</w:t>
      </w:r>
      <w:r w:rsidRPr="001A44A6">
        <w:rPr>
          <w:rFonts w:ascii="Arial Narrow" w:eastAsia="Calibri" w:hAnsi="Arial Narrow"/>
          <w:b/>
          <w:sz w:val="22"/>
          <w:szCs w:val="22"/>
          <w:lang w:eastAsia="fr-FR"/>
        </w:rPr>
        <w:t>. Sénat. Rapport Charles DESCOURS. Loi 97-1164. 5 novembre 1997.</w:t>
      </w:r>
    </w:p>
    <w:p w14:paraId="76109910" w14:textId="77777777" w:rsidR="00F831DB" w:rsidRDefault="00F831DB" w:rsidP="009F2B38">
      <w:pPr>
        <w:pStyle w:val="Paragraphe12"/>
        <w:rPr>
          <w:rFonts w:eastAsia="Calibri"/>
        </w:rPr>
      </w:pPr>
    </w:p>
    <w:p w14:paraId="08C075C2" w14:textId="1D3E31FE" w:rsidR="006503E8" w:rsidRPr="001A44A6" w:rsidRDefault="006503E8" w:rsidP="009F2B38">
      <w:pPr>
        <w:pStyle w:val="Paragraphe12"/>
        <w:rPr>
          <w:rFonts w:eastAsia="Calibri"/>
        </w:rPr>
      </w:pPr>
      <w:r w:rsidRPr="001A44A6">
        <w:rPr>
          <w:rFonts w:eastAsia="Calibri"/>
        </w:rPr>
        <w:lastRenderedPageBreak/>
        <w:t>L’article 19 II de la loi 97-1164 du 19 décembre 1997 dispose :</w:t>
      </w:r>
    </w:p>
    <w:p w14:paraId="5A724C32" w14:textId="77777777" w:rsidR="006503E8" w:rsidRPr="001A44A6" w:rsidRDefault="006503E8" w:rsidP="009F2B38">
      <w:pPr>
        <w:pStyle w:val="Citation1"/>
      </w:pPr>
      <w:r w:rsidRPr="001A44A6">
        <w:t xml:space="preserve">« II. - L’article L. 721-6 du code de la sécurité sociale est ainsi rédigé : </w:t>
      </w:r>
    </w:p>
    <w:p w14:paraId="6DE20742" w14:textId="77777777" w:rsidR="006503E8" w:rsidRPr="001A44A6" w:rsidRDefault="006503E8" w:rsidP="009F2B38">
      <w:pPr>
        <w:pStyle w:val="Citation1"/>
      </w:pPr>
      <w:r w:rsidRPr="001A44A6">
        <w:t xml:space="preserve">« Art. L. 721-6. - Sous réserve des dispositions de l’article L. 721-5, la pension de vieillesse est calculée, </w:t>
      </w:r>
      <w:r w:rsidRPr="001A44A6">
        <w:rPr>
          <w:spacing w:val="-2"/>
        </w:rPr>
        <w:t xml:space="preserve">liquidée et servie dans les conditions définies au deuxième, </w:t>
      </w:r>
      <w:proofErr w:type="gramStart"/>
      <w:r w:rsidRPr="001A44A6">
        <w:rPr>
          <w:spacing w:val="-2"/>
        </w:rPr>
        <w:t>troisième et quatrième alinéas</w:t>
      </w:r>
      <w:proofErr w:type="gramEnd"/>
      <w:r w:rsidRPr="001A44A6">
        <w:rPr>
          <w:spacing w:val="-2"/>
        </w:rPr>
        <w:t xml:space="preserve"> de l’article L. 351-1, </w:t>
      </w:r>
      <w:r w:rsidRPr="001A44A6">
        <w:rPr>
          <w:spacing w:val="-4"/>
        </w:rPr>
        <w:t>au premier alinéa de l’article L. 351-2, au 4</w:t>
      </w:r>
      <w:r w:rsidRPr="001A44A6">
        <w:rPr>
          <w:spacing w:val="-4"/>
          <w:vertAlign w:val="superscript"/>
        </w:rPr>
        <w:t>o</w:t>
      </w:r>
      <w:r w:rsidRPr="001A44A6">
        <w:rPr>
          <w:spacing w:val="-4"/>
        </w:rPr>
        <w:t>, 5</w:t>
      </w:r>
      <w:r w:rsidRPr="001A44A6">
        <w:rPr>
          <w:spacing w:val="-4"/>
          <w:vertAlign w:val="superscript"/>
        </w:rPr>
        <w:t>o</w:t>
      </w:r>
      <w:r w:rsidRPr="001A44A6">
        <w:rPr>
          <w:spacing w:val="-4"/>
        </w:rPr>
        <w:t xml:space="preserve"> et 6</w:t>
      </w:r>
      <w:r w:rsidRPr="001A44A6">
        <w:rPr>
          <w:spacing w:val="-4"/>
          <w:vertAlign w:val="superscript"/>
        </w:rPr>
        <w:t>o</w:t>
      </w:r>
      <w:r w:rsidRPr="001A44A6">
        <w:rPr>
          <w:spacing w:val="-4"/>
        </w:rPr>
        <w:t xml:space="preserve"> de l’article L. 351-3, aux articles L. 351-4, </w:t>
      </w:r>
      <w:r w:rsidRPr="001A44A6">
        <w:rPr>
          <w:spacing w:val="-4"/>
          <w:u w:val="single"/>
        </w:rPr>
        <w:t>L. 351-8 à L. 351-13</w:t>
      </w:r>
      <w:r w:rsidRPr="001A44A6">
        <w:rPr>
          <w:spacing w:val="-4"/>
        </w:rPr>
        <w:t>,</w:t>
      </w:r>
      <w:r w:rsidRPr="001A44A6">
        <w:t xml:space="preserve"> L. 352-1, L. 353-1 à L. 353-5 et L. 355-1 à L. 355-3. </w:t>
      </w:r>
    </w:p>
    <w:p w14:paraId="133D5ACD" w14:textId="77777777" w:rsidR="006503E8" w:rsidRPr="001A44A6" w:rsidRDefault="006503E8" w:rsidP="009F2B38">
      <w:pPr>
        <w:pStyle w:val="Citation1"/>
        <w:rPr>
          <w:u w:val="single"/>
        </w:rPr>
      </w:pPr>
      <w:bookmarkStart w:id="14" w:name="_Hlk511466394"/>
      <w:r w:rsidRPr="001A44A6">
        <w:rPr>
          <w:u w:val="single"/>
        </w:rPr>
        <w:t>Les prestations afférentes aux périodes d’assurance antérieures au 1</w:t>
      </w:r>
      <w:r w:rsidRPr="00EA5BCF">
        <w:rPr>
          <w:u w:val="single"/>
          <w:vertAlign w:val="superscript"/>
        </w:rPr>
        <w:t>er</w:t>
      </w:r>
      <w:r>
        <w:rPr>
          <w:u w:val="single"/>
        </w:rPr>
        <w:t xml:space="preserve"> </w:t>
      </w:r>
      <w:r w:rsidRPr="001A44A6">
        <w:rPr>
          <w:u w:val="single"/>
        </w:rPr>
        <w:t xml:space="preserve">janvier 1998 sont indiquées dans les conditions législatives et réglementaires en vigueur au 31 décembre 1997. </w:t>
      </w:r>
      <w:bookmarkEnd w:id="14"/>
      <w:r w:rsidRPr="001A44A6">
        <w:rPr>
          <w:u w:val="single"/>
        </w:rPr>
        <w:t>Le minimum et le maximum mentionnés à l’article L. 721-6 dans sa rédaction antérieure au 1</w:t>
      </w:r>
      <w:r w:rsidRPr="001A44A6">
        <w:rPr>
          <w:u w:val="single"/>
          <w:vertAlign w:val="superscript"/>
        </w:rPr>
        <w:t>er</w:t>
      </w:r>
      <w:r w:rsidRPr="001A44A6">
        <w:rPr>
          <w:u w:val="single"/>
        </w:rPr>
        <w:t xml:space="preserve"> janvier 1998 sont revalorisés dans les conditions prévues à l’article L. 351-11. »</w:t>
      </w:r>
    </w:p>
    <w:p w14:paraId="33D12CA3" w14:textId="77777777" w:rsidR="006503E8" w:rsidRPr="001A44A6" w:rsidRDefault="006503E8" w:rsidP="006F7EA6">
      <w:pPr>
        <w:pStyle w:val="Rfrence"/>
      </w:pPr>
      <w:r w:rsidRPr="001A44A6">
        <w:t xml:space="preserve">Pièce </w:t>
      </w:r>
      <w:r w:rsidR="00191307">
        <w:t>5</w:t>
      </w:r>
      <w:r w:rsidR="00F84E8B">
        <w:t>1</w:t>
      </w:r>
      <w:r w:rsidRPr="001A44A6">
        <w:t>. Loi 97-1164. Article 19.</w:t>
      </w:r>
    </w:p>
    <w:p w14:paraId="7AAA2B99" w14:textId="77777777" w:rsidR="006503E8" w:rsidRPr="001A44A6" w:rsidRDefault="006503E8" w:rsidP="009F2B38">
      <w:pPr>
        <w:pStyle w:val="Paragraphe12"/>
      </w:pPr>
      <w:r w:rsidRPr="001A44A6">
        <w:t>La loi 97-1164 a donc augmenté les cotisations, mais seules les prestations afférentes aux périodes postérieures au 1</w:t>
      </w:r>
      <w:r w:rsidRPr="001A44A6">
        <w:rPr>
          <w:vertAlign w:val="superscript"/>
        </w:rPr>
        <w:t>er</w:t>
      </w:r>
      <w:r w:rsidRPr="001A44A6">
        <w:t xml:space="preserve"> janvier 1998 sont revalorisées et alignées sur le régime général.</w:t>
      </w:r>
    </w:p>
    <w:p w14:paraId="6D578A3C" w14:textId="77777777" w:rsidR="006503E8" w:rsidRPr="001A44A6" w:rsidRDefault="006503E8" w:rsidP="009F2B38">
      <w:pPr>
        <w:pStyle w:val="Paragraphe12"/>
      </w:pPr>
      <w:r w:rsidRPr="001A44A6">
        <w:t>Il convient de constater que l’article L 721-6 CSS issu de cette loi</w:t>
      </w:r>
      <w:r w:rsidRPr="00191307">
        <w:rPr>
          <w:rStyle w:val="Appelnotedebasdep"/>
        </w:rPr>
        <w:footnoteReference w:id="2"/>
      </w:r>
      <w:r w:rsidRPr="001A44A6">
        <w:t>, applique les dispositions de l’article L 351-10 (1</w:t>
      </w:r>
      <w:r w:rsidRPr="001A44A6">
        <w:rPr>
          <w:vertAlign w:val="superscript"/>
        </w:rPr>
        <w:t>er</w:t>
      </w:r>
      <w:r w:rsidRPr="001A44A6">
        <w:t xml:space="preserve"> alinéa), mais qu’il exclut </w:t>
      </w:r>
      <w:r>
        <w:t>leur</w:t>
      </w:r>
      <w:r w:rsidRPr="001A44A6">
        <w:t xml:space="preserve"> application aux périodes antérieures au 1</w:t>
      </w:r>
      <w:r w:rsidRPr="001A44A6">
        <w:rPr>
          <w:vertAlign w:val="superscript"/>
        </w:rPr>
        <w:t>er</w:t>
      </w:r>
      <w:r w:rsidRPr="001A44A6">
        <w:t xml:space="preserve"> janvier 1998 (2</w:t>
      </w:r>
      <w:r w:rsidRPr="001A44A6">
        <w:rPr>
          <w:vertAlign w:val="superscript"/>
        </w:rPr>
        <w:t>ème</w:t>
      </w:r>
      <w:r w:rsidRPr="001A44A6">
        <w:t xml:space="preserve"> alinéa).</w:t>
      </w:r>
    </w:p>
    <w:p w14:paraId="525F112A" w14:textId="77777777" w:rsidR="006503E8" w:rsidRPr="00191307" w:rsidRDefault="006503E8" w:rsidP="009F2B38">
      <w:pPr>
        <w:pStyle w:val="Paragraphe12"/>
        <w:rPr>
          <w:spacing w:val="-2"/>
        </w:rPr>
      </w:pPr>
      <w:r w:rsidRPr="001A44A6">
        <w:t xml:space="preserve">La loi 97-1164 a ainsi figé les conditions de liquidation de la pension afférente aux périodes d’activité cultuelle </w:t>
      </w:r>
      <w:r w:rsidRPr="00191307">
        <w:rPr>
          <w:spacing w:val="-2"/>
        </w:rPr>
        <w:t>antérieures au 1</w:t>
      </w:r>
      <w:r w:rsidRPr="00191307">
        <w:rPr>
          <w:spacing w:val="-2"/>
          <w:vertAlign w:val="superscript"/>
        </w:rPr>
        <w:t>er</w:t>
      </w:r>
      <w:r w:rsidRPr="00191307">
        <w:rPr>
          <w:spacing w:val="-2"/>
        </w:rPr>
        <w:t xml:space="preserve"> janvier 1998. Les dispositions de l’article L 351-10 CSS, notamment, ne leur sont pas applicabl</w:t>
      </w:r>
      <w:r w:rsidR="00191307" w:rsidRPr="00191307">
        <w:rPr>
          <w:spacing w:val="-2"/>
        </w:rPr>
        <w:t>es</w:t>
      </w:r>
      <w:r w:rsidRPr="00191307">
        <w:rPr>
          <w:spacing w:val="-2"/>
        </w:rPr>
        <w:t>.</w:t>
      </w:r>
    </w:p>
    <w:p w14:paraId="24224B5B" w14:textId="77777777" w:rsidR="006503E8" w:rsidRDefault="006503E8" w:rsidP="009F2B38">
      <w:pPr>
        <w:pStyle w:val="Paragraphe12"/>
        <w:rPr>
          <w:rFonts w:eastAsia="Calibri"/>
        </w:rPr>
      </w:pPr>
      <w:r>
        <w:rPr>
          <w:rFonts w:eastAsia="Calibri"/>
        </w:rPr>
        <w:t>L</w:t>
      </w:r>
      <w:r w:rsidRPr="004F543E">
        <w:rPr>
          <w:rFonts w:eastAsia="Calibri"/>
        </w:rPr>
        <w:t>a Cavimac est finalement constituée de deux régimes qui n’ont pas les mêmes règles de cotisations et de prestations : un régime « divers » pour les périodes d’activité cultuelle antérieures au 1</w:t>
      </w:r>
      <w:r w:rsidRPr="004F543E">
        <w:rPr>
          <w:rFonts w:eastAsia="Calibri"/>
          <w:vertAlign w:val="superscript"/>
        </w:rPr>
        <w:t>er</w:t>
      </w:r>
      <w:r w:rsidRPr="004F543E">
        <w:rPr>
          <w:rFonts w:eastAsia="Calibri"/>
        </w:rPr>
        <w:t xml:space="preserve"> janvier 1998</w:t>
      </w:r>
      <w:r w:rsidRPr="004F543E">
        <w:rPr>
          <w:rFonts w:eastAsia="Calibri"/>
          <w:vertAlign w:val="superscript"/>
        </w:rPr>
        <w:footnoteReference w:id="3"/>
      </w:r>
      <w:r w:rsidRPr="004F543E">
        <w:rPr>
          <w:rFonts w:eastAsia="Calibri"/>
        </w:rPr>
        <w:t xml:space="preserve"> et un régime rattaché au régime général pour les périodes postérieures au 1</w:t>
      </w:r>
      <w:r w:rsidRPr="004F543E">
        <w:rPr>
          <w:rFonts w:eastAsia="Calibri"/>
          <w:vertAlign w:val="superscript"/>
        </w:rPr>
        <w:t>er</w:t>
      </w:r>
      <w:r w:rsidRPr="004F543E">
        <w:rPr>
          <w:rFonts w:eastAsia="Calibri"/>
        </w:rPr>
        <w:t xml:space="preserve"> janvier 1998.</w:t>
      </w:r>
      <w:r w:rsidRPr="00B77453">
        <w:rPr>
          <w:rFonts w:eastAsia="Calibri"/>
        </w:rPr>
        <w:t xml:space="preserve"> </w:t>
      </w:r>
    </w:p>
    <w:p w14:paraId="52B1A664" w14:textId="77777777" w:rsidR="006503E8" w:rsidRDefault="006503E8" w:rsidP="009F2B38">
      <w:pPr>
        <w:pStyle w:val="Paragraphe12"/>
        <w:spacing w:after="120"/>
        <w:rPr>
          <w:rFonts w:eastAsia="Calibri"/>
        </w:rPr>
      </w:pPr>
      <w:r w:rsidRPr="004F543E">
        <w:rPr>
          <w:rFonts w:eastAsia="Calibri"/>
        </w:rPr>
        <w:t>C’est ainsi, qu’à partir de 1998, la Cavimac calcule deux pensions :</w:t>
      </w:r>
    </w:p>
    <w:tbl>
      <w:tblPr>
        <w:tblStyle w:val="Grilledutableau"/>
        <w:tblW w:w="0" w:type="auto"/>
        <w:tblLook w:val="04A0" w:firstRow="1" w:lastRow="0" w:firstColumn="1" w:lastColumn="0" w:noHBand="0" w:noVBand="1"/>
      </w:tblPr>
      <w:tblGrid>
        <w:gridCol w:w="1271"/>
        <w:gridCol w:w="2835"/>
        <w:gridCol w:w="4954"/>
      </w:tblGrid>
      <w:tr w:rsidR="006503E8" w14:paraId="3776CC92" w14:textId="77777777" w:rsidTr="00705E74">
        <w:tc>
          <w:tcPr>
            <w:tcW w:w="1271" w:type="dxa"/>
          </w:tcPr>
          <w:p w14:paraId="04493D59" w14:textId="77777777" w:rsidR="006503E8" w:rsidRPr="000B195E" w:rsidRDefault="006503E8" w:rsidP="009F2B38">
            <w:pPr>
              <w:pStyle w:val="Paragraphe12"/>
              <w:spacing w:before="60" w:after="60"/>
              <w:jc w:val="center"/>
              <w:rPr>
                <w:rFonts w:eastAsia="Calibri"/>
                <w:sz w:val="20"/>
                <w:szCs w:val="20"/>
              </w:rPr>
            </w:pPr>
          </w:p>
        </w:tc>
        <w:tc>
          <w:tcPr>
            <w:tcW w:w="2835" w:type="dxa"/>
          </w:tcPr>
          <w:p w14:paraId="08C32BD8"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Périodes</w:t>
            </w:r>
          </w:p>
        </w:tc>
        <w:tc>
          <w:tcPr>
            <w:tcW w:w="4954" w:type="dxa"/>
          </w:tcPr>
          <w:p w14:paraId="4275ACE6"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Mode de calcul de la pension</w:t>
            </w:r>
          </w:p>
        </w:tc>
      </w:tr>
      <w:tr w:rsidR="006503E8" w14:paraId="432C6019" w14:textId="77777777" w:rsidTr="00705E74">
        <w:tc>
          <w:tcPr>
            <w:tcW w:w="1271" w:type="dxa"/>
          </w:tcPr>
          <w:p w14:paraId="6392CEC9"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Pension 1</w:t>
            </w:r>
          </w:p>
        </w:tc>
        <w:tc>
          <w:tcPr>
            <w:tcW w:w="2835" w:type="dxa"/>
          </w:tcPr>
          <w:p w14:paraId="1213D561"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Antérieures au 31/12/1997</w:t>
            </w:r>
          </w:p>
        </w:tc>
        <w:tc>
          <w:tcPr>
            <w:tcW w:w="4954" w:type="dxa"/>
          </w:tcPr>
          <w:p w14:paraId="1DEDB458"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Maximum de pension Cavimac (D 721-7 CSS)</w:t>
            </w:r>
          </w:p>
        </w:tc>
      </w:tr>
      <w:tr w:rsidR="006503E8" w14:paraId="242E492B" w14:textId="77777777" w:rsidTr="00705E74">
        <w:tc>
          <w:tcPr>
            <w:tcW w:w="1271" w:type="dxa"/>
          </w:tcPr>
          <w:p w14:paraId="186F678A"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Pension 2</w:t>
            </w:r>
          </w:p>
        </w:tc>
        <w:tc>
          <w:tcPr>
            <w:tcW w:w="2835" w:type="dxa"/>
          </w:tcPr>
          <w:p w14:paraId="04E3E56A"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Postérieures au 01/01/1998</w:t>
            </w:r>
          </w:p>
        </w:tc>
        <w:tc>
          <w:tcPr>
            <w:tcW w:w="4954" w:type="dxa"/>
          </w:tcPr>
          <w:p w14:paraId="35E4C38A" w14:textId="77777777" w:rsidR="006503E8" w:rsidRPr="000B195E" w:rsidRDefault="006503E8" w:rsidP="009F2B38">
            <w:pPr>
              <w:pStyle w:val="Paragraphe12"/>
              <w:spacing w:before="60" w:after="60"/>
              <w:jc w:val="center"/>
              <w:rPr>
                <w:rFonts w:eastAsia="Calibri"/>
                <w:sz w:val="20"/>
                <w:szCs w:val="20"/>
              </w:rPr>
            </w:pPr>
            <w:r w:rsidRPr="000B195E">
              <w:rPr>
                <w:rFonts w:eastAsia="Calibri"/>
                <w:sz w:val="20"/>
                <w:szCs w:val="20"/>
              </w:rPr>
              <w:t>Mêmes règles que le régime général.</w:t>
            </w:r>
          </w:p>
        </w:tc>
      </w:tr>
    </w:tbl>
    <w:p w14:paraId="1EB9CDC4" w14:textId="77777777" w:rsidR="006503E8" w:rsidRPr="001A44A6" w:rsidRDefault="006503E8" w:rsidP="009F2B38">
      <w:pPr>
        <w:pStyle w:val="Titre5"/>
      </w:pPr>
      <w:r w:rsidRPr="001A44A6">
        <w:t xml:space="preserve">Le </w:t>
      </w:r>
      <w:r w:rsidRPr="0003506F">
        <w:rPr>
          <w:sz w:val="22"/>
          <w:szCs w:val="22"/>
        </w:rPr>
        <w:t>Sénat</w:t>
      </w:r>
      <w:r w:rsidRPr="001A44A6">
        <w:t xml:space="preserve"> demande une amélioration de la pension afférente aux périodes antérieures à 1998</w:t>
      </w:r>
    </w:p>
    <w:p w14:paraId="59179532" w14:textId="77777777" w:rsidR="006503E8" w:rsidRPr="001A44A6" w:rsidRDefault="006503E8" w:rsidP="009F2B38">
      <w:pPr>
        <w:jc w:val="both"/>
        <w:rPr>
          <w:rFonts w:ascii="Arial Narrow" w:eastAsia="Calibri" w:hAnsi="Arial Narrow"/>
          <w:sz w:val="22"/>
          <w:szCs w:val="24"/>
        </w:rPr>
      </w:pPr>
      <w:r w:rsidRPr="001A44A6">
        <w:rPr>
          <w:rFonts w:ascii="Arial Narrow" w:eastAsia="Calibri" w:hAnsi="Arial Narrow"/>
          <w:sz w:val="22"/>
          <w:szCs w:val="24"/>
        </w:rPr>
        <w:t>Lors des débats parlementaires, la commission sociale du Sénat avait constaté que l’article 13 de la loi 97-1164 soulevait deux difficultés importantes :</w:t>
      </w:r>
    </w:p>
    <w:p w14:paraId="78C37375" w14:textId="77777777" w:rsidR="006503E8" w:rsidRPr="001A44A6" w:rsidRDefault="006503E8" w:rsidP="009F2B38">
      <w:pPr>
        <w:spacing w:before="60"/>
        <w:ind w:left="284"/>
        <w:jc w:val="both"/>
        <w:rPr>
          <w:rFonts w:ascii="Arial Narrow" w:eastAsia="Calibri" w:hAnsi="Arial Narrow"/>
          <w:bCs/>
          <w:i/>
          <w:sz w:val="22"/>
          <w:szCs w:val="22"/>
          <w:lang w:eastAsia="fr-FR"/>
        </w:rPr>
      </w:pPr>
      <w:r>
        <w:rPr>
          <w:rFonts w:ascii="Arial Narrow" w:eastAsia="Calibri" w:hAnsi="Arial Narrow"/>
          <w:bCs/>
          <w:i/>
          <w:sz w:val="22"/>
          <w:szCs w:val="22"/>
          <w:lang w:eastAsia="fr-FR"/>
        </w:rPr>
        <w:t>« </w:t>
      </w:r>
      <w:r w:rsidRPr="001A44A6">
        <w:rPr>
          <w:rFonts w:ascii="Arial Narrow" w:eastAsia="Calibri" w:hAnsi="Arial Narrow"/>
          <w:bCs/>
          <w:i/>
          <w:sz w:val="22"/>
          <w:szCs w:val="22"/>
          <w:lang w:eastAsia="fr-FR"/>
        </w:rPr>
        <w:t>Les effets très progressifs de l’alignement des pensions de retraite, en raison de la prise en compte des seuls droits acquis à compter du 1</w:t>
      </w:r>
      <w:r w:rsidRPr="001A44A6">
        <w:rPr>
          <w:rFonts w:ascii="Arial Narrow" w:eastAsia="Calibri" w:hAnsi="Arial Narrow"/>
          <w:bCs/>
          <w:i/>
          <w:sz w:val="22"/>
          <w:szCs w:val="22"/>
          <w:vertAlign w:val="superscript"/>
          <w:lang w:eastAsia="fr-FR"/>
        </w:rPr>
        <w:t>er</w:t>
      </w:r>
      <w:r w:rsidRPr="001A44A6">
        <w:rPr>
          <w:rFonts w:ascii="Arial Narrow" w:eastAsia="Calibri" w:hAnsi="Arial Narrow"/>
          <w:bCs/>
          <w:i/>
          <w:sz w:val="22"/>
          <w:szCs w:val="22"/>
          <w:lang w:eastAsia="fr-FR"/>
        </w:rPr>
        <w:t xml:space="preserve"> janvier 1998 soulèvent quelques déceptions notamment de la part des anciens ministres du culte. Ceux-ci disposent en moyenne de pensions inférieures de moitié aux prêtres diocésains… et souhaiteraient bénéficier… du minimum contributif en vigueur dans celui-ci soit environ 38 500 francs par an.</w:t>
      </w:r>
    </w:p>
    <w:p w14:paraId="7D31369A" w14:textId="77777777" w:rsidR="006503E8" w:rsidRPr="001A44A6" w:rsidRDefault="006503E8" w:rsidP="009F2B38">
      <w:pPr>
        <w:spacing w:before="60"/>
        <w:ind w:left="284"/>
        <w:jc w:val="both"/>
        <w:rPr>
          <w:rFonts w:ascii="Arial Narrow" w:eastAsia="Calibri" w:hAnsi="Arial Narrow"/>
          <w:bCs/>
          <w:i/>
          <w:sz w:val="22"/>
          <w:szCs w:val="22"/>
          <w:lang w:eastAsia="fr-FR"/>
        </w:rPr>
      </w:pPr>
      <w:r w:rsidRPr="001A44A6">
        <w:rPr>
          <w:rFonts w:ascii="Arial Narrow" w:eastAsia="Calibri" w:hAnsi="Arial Narrow"/>
          <w:bCs/>
          <w:i/>
          <w:sz w:val="22"/>
          <w:szCs w:val="22"/>
          <w:lang w:eastAsia="fr-FR"/>
        </w:rPr>
        <w:t>Cette demande semble difficile à satisfaire dans l’immédiat car la pension actuelle du régime CAMAVIC n’est que de 23 449 francs par an et que le relèvement immédiat des pensions à hauteur du minimum contributif, soit 38 520 francs aurait un coût considérable…</w:t>
      </w:r>
    </w:p>
    <w:p w14:paraId="6408AFBF" w14:textId="77777777" w:rsidR="006503E8" w:rsidRPr="001A44A6" w:rsidRDefault="006503E8" w:rsidP="009F2B38">
      <w:pPr>
        <w:spacing w:before="60"/>
        <w:ind w:left="284"/>
        <w:jc w:val="both"/>
        <w:rPr>
          <w:rFonts w:ascii="Arial Narrow" w:eastAsia="Calibri" w:hAnsi="Arial Narrow"/>
          <w:bCs/>
          <w:i/>
          <w:sz w:val="22"/>
          <w:szCs w:val="22"/>
          <w:lang w:eastAsia="fr-FR"/>
        </w:rPr>
      </w:pPr>
      <w:r w:rsidRPr="001A44A6">
        <w:rPr>
          <w:rFonts w:ascii="Arial Narrow" w:eastAsia="Calibri" w:hAnsi="Arial Narrow"/>
          <w:bCs/>
          <w:i/>
          <w:sz w:val="22"/>
          <w:szCs w:val="22"/>
          <w:lang w:eastAsia="fr-FR"/>
        </w:rPr>
        <w:t>Votre commission souhaite néanmoins que la réflexion sur l'évolution des pensions, très faibles, liquidées par ce régime, soit poursuivie afin qu'une solution soit proposée, le cas échéant, dans le cadre d'un prochain projet de loi ».</w:t>
      </w:r>
    </w:p>
    <w:p w14:paraId="3C4B31B1" w14:textId="77777777" w:rsidR="006503E8" w:rsidRPr="001A44A6" w:rsidRDefault="006503E8" w:rsidP="009F2B38">
      <w:pPr>
        <w:spacing w:before="0"/>
        <w:ind w:left="284"/>
        <w:jc w:val="right"/>
        <w:rPr>
          <w:rFonts w:ascii="Arial Narrow" w:eastAsia="Calibri" w:hAnsi="Arial Narrow"/>
          <w:b/>
          <w:sz w:val="22"/>
          <w:szCs w:val="22"/>
          <w:lang w:eastAsia="fr-FR"/>
        </w:rPr>
      </w:pPr>
      <w:r w:rsidRPr="001A44A6">
        <w:rPr>
          <w:rFonts w:ascii="Arial Narrow" w:eastAsia="Calibri" w:hAnsi="Arial Narrow"/>
          <w:b/>
          <w:sz w:val="22"/>
          <w:szCs w:val="22"/>
          <w:lang w:eastAsia="fr-FR"/>
        </w:rPr>
        <w:t xml:space="preserve">Pièce </w:t>
      </w:r>
      <w:r w:rsidR="00F84E8B">
        <w:rPr>
          <w:rFonts w:ascii="Arial Narrow" w:eastAsia="Calibri" w:hAnsi="Arial Narrow"/>
          <w:b/>
          <w:sz w:val="22"/>
          <w:szCs w:val="22"/>
          <w:lang w:eastAsia="fr-FR"/>
        </w:rPr>
        <w:t>50</w:t>
      </w:r>
      <w:r w:rsidRPr="001A44A6">
        <w:rPr>
          <w:rFonts w:ascii="Arial Narrow" w:eastAsia="Calibri" w:hAnsi="Arial Narrow"/>
          <w:b/>
          <w:sz w:val="22"/>
          <w:szCs w:val="22"/>
          <w:lang w:eastAsia="fr-FR"/>
        </w:rPr>
        <w:t xml:space="preserve"> précitée. Sénat. Rapport Charles DESCOURS. Loi 97-1164. 5 novembre 1997. </w:t>
      </w:r>
    </w:p>
    <w:p w14:paraId="2BBE1E15" w14:textId="77777777" w:rsidR="006503E8" w:rsidRPr="001A44A6" w:rsidRDefault="006503E8" w:rsidP="009F2B38">
      <w:pPr>
        <w:spacing w:before="240"/>
        <w:jc w:val="both"/>
        <w:rPr>
          <w:rFonts w:ascii="Arial Narrow" w:hAnsi="Arial Narrow"/>
          <w:sz w:val="22"/>
          <w:szCs w:val="22"/>
          <w:lang w:eastAsia="fr-FR"/>
        </w:rPr>
      </w:pPr>
      <w:r w:rsidRPr="001A44A6">
        <w:rPr>
          <w:rFonts w:ascii="Arial Narrow" w:hAnsi="Arial Narrow"/>
          <w:sz w:val="22"/>
          <w:szCs w:val="22"/>
          <w:lang w:eastAsia="fr-FR"/>
        </w:rPr>
        <w:t xml:space="preserve">L’augmentation des pensions afférentes aux périodes d’activité antérieures à 1998 sera réalisée en deux temps. </w:t>
      </w:r>
    </w:p>
    <w:p w14:paraId="3794C9BF" w14:textId="77777777" w:rsidR="00191307" w:rsidRPr="004F543E" w:rsidRDefault="00191307" w:rsidP="009F2B38">
      <w:pPr>
        <w:pStyle w:val="Titre3"/>
      </w:pPr>
      <w:bookmarkStart w:id="15" w:name="_Toc511477544"/>
      <w:r>
        <w:lastRenderedPageBreak/>
        <w:t xml:space="preserve">L’ajustement de 2006 : </w:t>
      </w:r>
      <w:r w:rsidRPr="001143D7">
        <w:t>majoration</w:t>
      </w:r>
      <w:r w:rsidRPr="004F543E">
        <w:t xml:space="preserve"> </w:t>
      </w:r>
      <w:r>
        <w:t>pour les périodes postérieures 1979-1997</w:t>
      </w:r>
      <w:bookmarkEnd w:id="15"/>
    </w:p>
    <w:p w14:paraId="620C6E1D" w14:textId="77777777" w:rsidR="00191307" w:rsidRDefault="00191307" w:rsidP="009F2B38">
      <w:pPr>
        <w:pStyle w:val="Paragraphe12"/>
        <w:rPr>
          <w:rFonts w:eastAsia="Calibri"/>
        </w:rPr>
      </w:pPr>
      <w:r>
        <w:rPr>
          <w:rFonts w:eastAsia="Calibri"/>
        </w:rPr>
        <w:t xml:space="preserve">La loi n° 2005-1579 du 19 </w:t>
      </w:r>
      <w:r w:rsidRPr="00191307">
        <w:rPr>
          <w:rFonts w:eastAsia="Calibri"/>
        </w:rPr>
        <w:t>décembre</w:t>
      </w:r>
      <w:r>
        <w:rPr>
          <w:rFonts w:eastAsia="Calibri"/>
        </w:rPr>
        <w:t xml:space="preserve"> 2005, en son article 75, a intégré juridiquement le régime d’assurance vieillesse des cultes au sein du régime général en transférant les dispositions relatives au régime dédié aux ministres du cultes et membres des congrégations et collectivités religieuses du livre VII au livre III du Code de la Sécurité sociale.</w:t>
      </w:r>
    </w:p>
    <w:p w14:paraId="11E9448D" w14:textId="77777777" w:rsidR="00191307" w:rsidRDefault="00191307" w:rsidP="009F2B38">
      <w:pPr>
        <w:pStyle w:val="Paragraphe12"/>
        <w:rPr>
          <w:rFonts w:eastAsia="Calibri"/>
          <w:i/>
        </w:rPr>
      </w:pPr>
      <w:r>
        <w:rPr>
          <w:rFonts w:eastAsia="Calibri"/>
        </w:rPr>
        <w:t xml:space="preserve">Cette loi a </w:t>
      </w:r>
      <w:r w:rsidRPr="00191307">
        <w:rPr>
          <w:rFonts w:eastAsia="Calibri"/>
        </w:rPr>
        <w:t>notamment</w:t>
      </w:r>
      <w:r>
        <w:rPr>
          <w:rFonts w:eastAsia="Calibri"/>
        </w:rPr>
        <w:t xml:space="preserve"> renommé l’article L 721-6 en L 382-27 et ajouté, à l’alinéa 2 de cet article, l’expression </w:t>
      </w:r>
      <w:r w:rsidRPr="00D72588">
        <w:rPr>
          <w:rFonts w:eastAsia="Calibri"/>
          <w:i/>
        </w:rPr>
        <w:t>« sous réserve de modification par décret ».</w:t>
      </w:r>
    </w:p>
    <w:p w14:paraId="3CF78BEC" w14:textId="77777777" w:rsidR="00191307" w:rsidRPr="00191307" w:rsidRDefault="00191307" w:rsidP="009F2B38">
      <w:pPr>
        <w:pStyle w:val="Citation1"/>
      </w:pPr>
      <w:r w:rsidRPr="00191307">
        <w:t>« Les prestations afférentes aux périodes d'assurance antérieures au 1</w:t>
      </w:r>
      <w:r w:rsidRPr="00DD5460">
        <w:rPr>
          <w:vertAlign w:val="superscript"/>
        </w:rPr>
        <w:t>er</w:t>
      </w:r>
      <w:r w:rsidRPr="00191307">
        <w:t xml:space="preserve"> janvier 1998 sont indiquées dans les conditions législatives et réglementaires en vigueur au 31 décembre 1997 sous réserve d'adaptation par décret. Le minimum et le maximum mentionnés à l'article L. 721-6 dans sa rédaction antérieure au 1</w:t>
      </w:r>
      <w:r w:rsidRPr="00DD5460">
        <w:rPr>
          <w:vertAlign w:val="superscript"/>
        </w:rPr>
        <w:t>er</w:t>
      </w:r>
      <w:r w:rsidRPr="00191307">
        <w:t xml:space="preserve"> janvier 1998 sont revalorisés dans les conditions prévues à l'article L. 351-11 (L 382-27, al 2).</w:t>
      </w:r>
    </w:p>
    <w:p w14:paraId="7FBFA722" w14:textId="77777777" w:rsidR="00191307" w:rsidRDefault="00191307" w:rsidP="009F2B38">
      <w:pPr>
        <w:pStyle w:val="Paragraphe12"/>
      </w:pPr>
      <w:r w:rsidRPr="00191307">
        <w:t>Cette</w:t>
      </w:r>
      <w:r>
        <w:t xml:space="preserve"> loi laisse ainsi ouverte la possibilité d’une revalorisation du « maximum de pension » qui n’existait pas dans la rédaction précédente.</w:t>
      </w:r>
    </w:p>
    <w:p w14:paraId="767BD1B6" w14:textId="77777777" w:rsidR="00191307" w:rsidRDefault="00191307" w:rsidP="009F2B38">
      <w:pPr>
        <w:pStyle w:val="Paragraphe12"/>
      </w:pPr>
      <w:r>
        <w:t xml:space="preserve">C’est dans ce cadre qu’intervient le décret 2006-1325 du 31 octobre 2006. </w:t>
      </w:r>
    </w:p>
    <w:p w14:paraId="072937D2" w14:textId="77777777" w:rsidR="00191307" w:rsidRPr="004F543E" w:rsidRDefault="00191307" w:rsidP="009F2B38">
      <w:pPr>
        <w:pStyle w:val="Paragraphe12"/>
        <w:rPr>
          <w:rFonts w:eastAsia="Calibri"/>
        </w:rPr>
      </w:pPr>
      <w:r>
        <w:rPr>
          <w:rFonts w:eastAsia="Calibri"/>
        </w:rPr>
        <w:t>C</w:t>
      </w:r>
      <w:r w:rsidRPr="004F543E">
        <w:rPr>
          <w:rFonts w:eastAsia="Calibri"/>
        </w:rPr>
        <w:t xml:space="preserve">e décret a </w:t>
      </w:r>
      <w:r w:rsidRPr="00191307">
        <w:rPr>
          <w:rFonts w:eastAsia="Calibri"/>
        </w:rPr>
        <w:t>assorti</w:t>
      </w:r>
      <w:r w:rsidRPr="004F543E">
        <w:rPr>
          <w:rFonts w:eastAsia="Calibri"/>
        </w:rPr>
        <w:t xml:space="preserve"> –</w:t>
      </w:r>
      <w:r>
        <w:rPr>
          <w:rFonts w:eastAsia="Calibri"/>
        </w:rPr>
        <w:t xml:space="preserve"> </w:t>
      </w:r>
      <w:r w:rsidRPr="004F543E">
        <w:rPr>
          <w:rFonts w:eastAsia="Calibri"/>
        </w:rPr>
        <w:t>de manière progressive</w:t>
      </w:r>
      <w:r>
        <w:rPr>
          <w:rFonts w:eastAsia="Calibri"/>
        </w:rPr>
        <w:t xml:space="preserve"> </w:t>
      </w:r>
      <w:r w:rsidRPr="004F543E">
        <w:rPr>
          <w:rFonts w:eastAsia="Calibri"/>
        </w:rPr>
        <w:t xml:space="preserve">– le « maximum de pension » d’une majoration : </w:t>
      </w:r>
    </w:p>
    <w:p w14:paraId="534F1AC7" w14:textId="77777777" w:rsidR="00191307" w:rsidRPr="00191307" w:rsidRDefault="00191307" w:rsidP="009F2B38">
      <w:pPr>
        <w:pStyle w:val="Citation1"/>
      </w:pPr>
      <w:r w:rsidRPr="00191307">
        <w:t>« Cette majoration est calculée à partir d’une fraction de l’écart entre, d’une part, le maximum de pension fixé en application des dispositions dudit article D. 721-7 et déterminé compte tenu des dispositions du III du présent article et, d’autre part, le montant du minimum de pension majoré au titre des périodes ayant donné lieu à cotisations à la charge de l’assuré, fixé en application des dispositions de l’article L 351-10 du code de la sécurité sociale ».</w:t>
      </w:r>
    </w:p>
    <w:p w14:paraId="1CC31392" w14:textId="77777777" w:rsidR="00191307" w:rsidRPr="001E751F" w:rsidRDefault="00191307" w:rsidP="006F7EA6">
      <w:pPr>
        <w:pStyle w:val="Rfrence"/>
      </w:pPr>
      <w:r>
        <w:t xml:space="preserve">Pièce </w:t>
      </w:r>
      <w:r w:rsidR="001143D7">
        <w:t>43</w:t>
      </w:r>
      <w:r>
        <w:t>. Décret 2006-1325 du 31 octobre 2006.</w:t>
      </w:r>
    </w:p>
    <w:p w14:paraId="02D28243" w14:textId="77777777" w:rsidR="00191307" w:rsidRPr="001143D7" w:rsidRDefault="00191307" w:rsidP="009F2B38">
      <w:pPr>
        <w:pStyle w:val="Paragraphe12"/>
      </w:pPr>
      <w:r w:rsidRPr="001143D7">
        <w:t>Ainsi ce décret porte la pension minimale au niveau de la valeur du « minimum de pension majoré », c’est-à-dire du « minimum contributif majoré ». Il fait référence à la valeur définie à l’article L 351-10 mais il n’en applique pas les autres dispositions.</w:t>
      </w:r>
    </w:p>
    <w:p w14:paraId="60DBFCFC" w14:textId="77777777" w:rsidR="00191307" w:rsidRPr="001143D7" w:rsidRDefault="00191307" w:rsidP="009F2B38">
      <w:pPr>
        <w:pStyle w:val="Paragraphe12"/>
      </w:pPr>
      <w:bookmarkStart w:id="16" w:name="_Hlk511467735"/>
      <w:r w:rsidRPr="001143D7">
        <w:t xml:space="preserve">En effet, il convient de faire ressortir que ce décret stipule : </w:t>
      </w:r>
    </w:p>
    <w:p w14:paraId="728535AC" w14:textId="77777777" w:rsidR="00191307" w:rsidRPr="001143D7" w:rsidRDefault="00191307" w:rsidP="009F2B38">
      <w:pPr>
        <w:pStyle w:val="Citation1"/>
      </w:pPr>
      <w:r w:rsidRPr="001143D7">
        <w:t>« La majoration est attribuée au prorata du nombre de trimestres cotisés par l’assuré entre le 1</w:t>
      </w:r>
      <w:r w:rsidRPr="008A54F1">
        <w:rPr>
          <w:vertAlign w:val="superscript"/>
        </w:rPr>
        <w:t>er</w:t>
      </w:r>
      <w:r w:rsidRPr="001143D7">
        <w:t xml:space="preserve"> janvier 1979 et le 31 décembre 1997, </w:t>
      </w:r>
      <w:bookmarkStart w:id="17" w:name="_Hlk508204701"/>
      <w:r w:rsidRPr="008F7565">
        <w:rPr>
          <w:u w:val="single"/>
        </w:rPr>
        <w:t>rapporté au nombre de trimestres nécessaires pour atteindre la durée maximale fixée à l’article R. 351-6 du code de la sécurité sociale </w:t>
      </w:r>
      <w:r w:rsidRPr="001143D7">
        <w:t>»</w:t>
      </w:r>
      <w:bookmarkEnd w:id="17"/>
      <w:r w:rsidRPr="001143D7">
        <w:t xml:space="preserve"> (Cf. pièce </w:t>
      </w:r>
      <w:r w:rsidR="00316092">
        <w:t>43</w:t>
      </w:r>
      <w:r w:rsidRPr="001143D7">
        <w:t xml:space="preserve">). </w:t>
      </w:r>
      <w:bookmarkEnd w:id="16"/>
    </w:p>
    <w:p w14:paraId="7B690E6D" w14:textId="77777777" w:rsidR="00191307" w:rsidRPr="001143D7" w:rsidRDefault="00191307" w:rsidP="009F2B38">
      <w:pPr>
        <w:pStyle w:val="Paragraphe12"/>
      </w:pPr>
      <w:r w:rsidRPr="001143D7">
        <w:t>Le décret 2006-1325 applique cette majoration « au titre des périodes ayant donné lieu à cotisations à la charge de l’assuré », c’est-à-dire aux trimestres d’activité accomplis entre le 1</w:t>
      </w:r>
      <w:r w:rsidRPr="008A54F1">
        <w:rPr>
          <w:vertAlign w:val="superscript"/>
        </w:rPr>
        <w:t>er</w:t>
      </w:r>
      <w:r w:rsidRPr="001143D7">
        <w:t xml:space="preserve"> janvier 1979 et le 31 décembre 1997. </w:t>
      </w:r>
    </w:p>
    <w:p w14:paraId="085B710C" w14:textId="77777777" w:rsidR="00191307" w:rsidRPr="001143D7" w:rsidRDefault="00191307" w:rsidP="009F2B38">
      <w:pPr>
        <w:pStyle w:val="Paragraphe12"/>
        <w:spacing w:after="120"/>
        <w:rPr>
          <w:rFonts w:eastAsia="Calibri"/>
        </w:rPr>
      </w:pPr>
      <w:r w:rsidRPr="001143D7">
        <w:rPr>
          <w:rFonts w:eastAsia="Calibri"/>
        </w:rPr>
        <w:t>La pension Cavimac est alors constituée de trois fractions de pension :</w:t>
      </w:r>
    </w:p>
    <w:tbl>
      <w:tblPr>
        <w:tblStyle w:val="Grilledutableau"/>
        <w:tblW w:w="0" w:type="auto"/>
        <w:tblLook w:val="04A0" w:firstRow="1" w:lastRow="0" w:firstColumn="1" w:lastColumn="0" w:noHBand="0" w:noVBand="1"/>
      </w:tblPr>
      <w:tblGrid>
        <w:gridCol w:w="1271"/>
        <w:gridCol w:w="2835"/>
        <w:gridCol w:w="4954"/>
      </w:tblGrid>
      <w:tr w:rsidR="00191307" w:rsidRPr="000B195E" w14:paraId="26BE002C" w14:textId="77777777" w:rsidTr="00705E74">
        <w:tc>
          <w:tcPr>
            <w:tcW w:w="1271" w:type="dxa"/>
          </w:tcPr>
          <w:p w14:paraId="370CA02B" w14:textId="77777777" w:rsidR="00191307" w:rsidRPr="000B195E" w:rsidRDefault="00191307" w:rsidP="009F2B38">
            <w:pPr>
              <w:pStyle w:val="Paragraphe12"/>
              <w:spacing w:before="60" w:after="60"/>
              <w:jc w:val="center"/>
              <w:rPr>
                <w:rFonts w:eastAsia="Calibri"/>
                <w:sz w:val="20"/>
                <w:szCs w:val="20"/>
              </w:rPr>
            </w:pPr>
            <w:bookmarkStart w:id="18" w:name="_Hlk511461217"/>
          </w:p>
        </w:tc>
        <w:tc>
          <w:tcPr>
            <w:tcW w:w="2835" w:type="dxa"/>
          </w:tcPr>
          <w:p w14:paraId="7A695E0B"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Périodes</w:t>
            </w:r>
          </w:p>
        </w:tc>
        <w:tc>
          <w:tcPr>
            <w:tcW w:w="4954" w:type="dxa"/>
          </w:tcPr>
          <w:p w14:paraId="3749D6B0"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Mode de calcul de la pension</w:t>
            </w:r>
          </w:p>
        </w:tc>
      </w:tr>
      <w:tr w:rsidR="00191307" w:rsidRPr="000B195E" w14:paraId="1ADAE27F" w14:textId="77777777" w:rsidTr="00705E74">
        <w:tc>
          <w:tcPr>
            <w:tcW w:w="1271" w:type="dxa"/>
          </w:tcPr>
          <w:p w14:paraId="6219507B"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Pension 1</w:t>
            </w:r>
            <w:r>
              <w:rPr>
                <w:rFonts w:eastAsia="Calibri"/>
                <w:sz w:val="20"/>
                <w:szCs w:val="20"/>
              </w:rPr>
              <w:t>a</w:t>
            </w:r>
          </w:p>
        </w:tc>
        <w:tc>
          <w:tcPr>
            <w:tcW w:w="2835" w:type="dxa"/>
          </w:tcPr>
          <w:p w14:paraId="003156E1"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 xml:space="preserve">Antérieures au </w:t>
            </w:r>
            <w:r>
              <w:rPr>
                <w:rFonts w:eastAsia="Calibri"/>
                <w:sz w:val="20"/>
                <w:szCs w:val="20"/>
              </w:rPr>
              <w:t>01/01/1979</w:t>
            </w:r>
          </w:p>
        </w:tc>
        <w:tc>
          <w:tcPr>
            <w:tcW w:w="4954" w:type="dxa"/>
          </w:tcPr>
          <w:p w14:paraId="7FDEA131"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Maximum de pension Cavimac (D 721-7 CSS)</w:t>
            </w:r>
          </w:p>
        </w:tc>
      </w:tr>
      <w:tr w:rsidR="00191307" w:rsidRPr="000B195E" w14:paraId="76EF8124" w14:textId="77777777" w:rsidTr="00705E74">
        <w:tc>
          <w:tcPr>
            <w:tcW w:w="1271" w:type="dxa"/>
          </w:tcPr>
          <w:p w14:paraId="5A2FD037" w14:textId="77777777" w:rsidR="00191307" w:rsidRPr="000B195E" w:rsidRDefault="00191307" w:rsidP="009F2B38">
            <w:pPr>
              <w:pStyle w:val="Paragraphe12"/>
              <w:spacing w:before="60" w:after="60"/>
              <w:jc w:val="center"/>
              <w:rPr>
                <w:rFonts w:eastAsia="Calibri"/>
                <w:sz w:val="20"/>
                <w:szCs w:val="20"/>
              </w:rPr>
            </w:pPr>
            <w:r>
              <w:rPr>
                <w:rFonts w:eastAsia="Calibri"/>
                <w:sz w:val="20"/>
                <w:szCs w:val="20"/>
              </w:rPr>
              <w:t>Pension 1b</w:t>
            </w:r>
          </w:p>
        </w:tc>
        <w:tc>
          <w:tcPr>
            <w:tcW w:w="2835" w:type="dxa"/>
          </w:tcPr>
          <w:p w14:paraId="7753C304" w14:textId="77777777" w:rsidR="00191307" w:rsidRPr="000B195E" w:rsidRDefault="00191307" w:rsidP="009F2B38">
            <w:pPr>
              <w:pStyle w:val="Paragraphe12"/>
              <w:spacing w:before="60" w:after="60"/>
              <w:jc w:val="center"/>
              <w:rPr>
                <w:rFonts w:eastAsia="Calibri"/>
                <w:sz w:val="20"/>
                <w:szCs w:val="20"/>
              </w:rPr>
            </w:pPr>
            <w:r>
              <w:rPr>
                <w:rFonts w:eastAsia="Calibri"/>
                <w:sz w:val="20"/>
                <w:szCs w:val="20"/>
              </w:rPr>
              <w:t>Du 01/01/1979 au 31/12/1997</w:t>
            </w:r>
          </w:p>
        </w:tc>
        <w:tc>
          <w:tcPr>
            <w:tcW w:w="4954" w:type="dxa"/>
          </w:tcPr>
          <w:p w14:paraId="636D6604" w14:textId="77777777" w:rsidR="00191307" w:rsidRPr="000B195E" w:rsidRDefault="00191307" w:rsidP="009F2B38">
            <w:pPr>
              <w:pStyle w:val="Paragraphe12"/>
              <w:spacing w:before="60" w:after="60"/>
              <w:jc w:val="center"/>
              <w:rPr>
                <w:rFonts w:eastAsia="Calibri"/>
                <w:sz w:val="20"/>
                <w:szCs w:val="20"/>
              </w:rPr>
            </w:pPr>
            <w:r>
              <w:rPr>
                <w:rFonts w:eastAsia="Calibri"/>
                <w:sz w:val="20"/>
                <w:szCs w:val="20"/>
              </w:rPr>
              <w:t>Niveau du minimum de pension majoré</w:t>
            </w:r>
          </w:p>
        </w:tc>
      </w:tr>
      <w:tr w:rsidR="00191307" w:rsidRPr="000B195E" w14:paraId="60805B30" w14:textId="77777777" w:rsidTr="00705E74">
        <w:tc>
          <w:tcPr>
            <w:tcW w:w="1271" w:type="dxa"/>
          </w:tcPr>
          <w:p w14:paraId="5D3A2C2D"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Pension 2</w:t>
            </w:r>
          </w:p>
        </w:tc>
        <w:tc>
          <w:tcPr>
            <w:tcW w:w="2835" w:type="dxa"/>
          </w:tcPr>
          <w:p w14:paraId="1BBD9BFB"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Postérieures au 01/01/1998</w:t>
            </w:r>
          </w:p>
        </w:tc>
        <w:tc>
          <w:tcPr>
            <w:tcW w:w="4954" w:type="dxa"/>
          </w:tcPr>
          <w:p w14:paraId="5415B9A9" w14:textId="77777777" w:rsidR="00191307" w:rsidRPr="000B195E" w:rsidRDefault="00191307" w:rsidP="009F2B38">
            <w:pPr>
              <w:pStyle w:val="Paragraphe12"/>
              <w:spacing w:before="60" w:after="60"/>
              <w:jc w:val="center"/>
              <w:rPr>
                <w:rFonts w:eastAsia="Calibri"/>
                <w:sz w:val="20"/>
                <w:szCs w:val="20"/>
              </w:rPr>
            </w:pPr>
            <w:r w:rsidRPr="000B195E">
              <w:rPr>
                <w:rFonts w:eastAsia="Calibri"/>
                <w:sz w:val="20"/>
                <w:szCs w:val="20"/>
              </w:rPr>
              <w:t>Mêmes règles que le régime général.</w:t>
            </w:r>
          </w:p>
        </w:tc>
      </w:tr>
      <w:bookmarkEnd w:id="18"/>
    </w:tbl>
    <w:p w14:paraId="373735A0" w14:textId="77777777" w:rsidR="00191307" w:rsidRDefault="00191307" w:rsidP="009F2B38">
      <w:pPr>
        <w:pStyle w:val="Paragraphe12"/>
        <w:rPr>
          <w:rFonts w:eastAsia="Calibri"/>
        </w:rPr>
      </w:pPr>
    </w:p>
    <w:p w14:paraId="5C111842" w14:textId="77777777" w:rsidR="00191307" w:rsidRDefault="00191307" w:rsidP="009F2B38">
      <w:pPr>
        <w:spacing w:before="0" w:after="200" w:line="276" w:lineRule="auto"/>
        <w:rPr>
          <w:rFonts w:ascii="Arial Narrow" w:eastAsia="Calibri" w:hAnsi="Arial Narrow"/>
          <w:sz w:val="22"/>
          <w:szCs w:val="22"/>
          <w:lang w:eastAsia="fr-FR"/>
        </w:rPr>
      </w:pPr>
      <w:r>
        <w:rPr>
          <w:rFonts w:eastAsia="Calibri"/>
        </w:rPr>
        <w:br w:type="page"/>
      </w:r>
    </w:p>
    <w:p w14:paraId="16DC93B7" w14:textId="77777777" w:rsidR="001143D7" w:rsidRPr="004F543E" w:rsidRDefault="001143D7" w:rsidP="009F2B38">
      <w:pPr>
        <w:pStyle w:val="Titre3"/>
      </w:pPr>
      <w:bookmarkStart w:id="19" w:name="_Toc511477545"/>
      <w:bookmarkStart w:id="20" w:name="_Toc412836142"/>
      <w:r>
        <w:lastRenderedPageBreak/>
        <w:t>L’ajustement de 2010 : majoration pour les périodes antérieures au 1</w:t>
      </w:r>
      <w:r w:rsidRPr="003D3EC9">
        <w:rPr>
          <w:vertAlign w:val="superscript"/>
        </w:rPr>
        <w:t>er</w:t>
      </w:r>
      <w:r>
        <w:t xml:space="preserve"> janvier 1979</w:t>
      </w:r>
      <w:bookmarkEnd w:id="19"/>
    </w:p>
    <w:p w14:paraId="271B9100" w14:textId="77777777" w:rsidR="001143D7" w:rsidRPr="001143D7" w:rsidRDefault="001143D7" w:rsidP="009F2B38">
      <w:pPr>
        <w:pStyle w:val="Paragraphe12"/>
        <w:rPr>
          <w:rFonts w:eastAsia="Calibri"/>
        </w:rPr>
      </w:pPr>
      <w:r w:rsidRPr="001143D7">
        <w:rPr>
          <w:rFonts w:eastAsia="Calibri"/>
        </w:rPr>
        <w:t>Répondant à la demande des cultes, le décret 2010-103 du 28 janvier 2010 a revalorisé la pension afférente aux périodes antérieures au 1</w:t>
      </w:r>
      <w:r w:rsidRPr="001143D7">
        <w:rPr>
          <w:rFonts w:eastAsia="Calibri"/>
          <w:vertAlign w:val="superscript"/>
        </w:rPr>
        <w:t>er</w:t>
      </w:r>
      <w:r w:rsidRPr="001143D7">
        <w:rPr>
          <w:rFonts w:eastAsia="Calibri"/>
        </w:rPr>
        <w:t> janvier 1979, pour les pensions liquidées à compter du 1</w:t>
      </w:r>
      <w:r w:rsidRPr="00EB4AA6">
        <w:rPr>
          <w:rFonts w:eastAsia="Calibri"/>
          <w:vertAlign w:val="superscript"/>
        </w:rPr>
        <w:t>er</w:t>
      </w:r>
      <w:r w:rsidR="00EB4AA6">
        <w:rPr>
          <w:rFonts w:eastAsia="Calibri"/>
        </w:rPr>
        <w:t xml:space="preserve"> </w:t>
      </w:r>
      <w:r w:rsidRPr="001143D7">
        <w:rPr>
          <w:rFonts w:eastAsia="Calibri"/>
        </w:rPr>
        <w:t>février 2010.</w:t>
      </w:r>
    </w:p>
    <w:p w14:paraId="67966558" w14:textId="77777777" w:rsidR="001143D7" w:rsidRPr="001143D7" w:rsidRDefault="001143D7" w:rsidP="009F2B38">
      <w:pPr>
        <w:pStyle w:val="Paragraphe12"/>
        <w:rPr>
          <w:rFonts w:eastAsia="Calibri"/>
        </w:rPr>
      </w:pPr>
      <w:bookmarkStart w:id="21" w:name="_Hlk511491337"/>
      <w:r w:rsidRPr="001143D7">
        <w:rPr>
          <w:rFonts w:eastAsia="Calibri"/>
        </w:rPr>
        <w:t xml:space="preserve">Ce décret </w:t>
      </w:r>
      <w:bookmarkEnd w:id="21"/>
      <w:r w:rsidRPr="001143D7">
        <w:rPr>
          <w:rFonts w:eastAsia="Calibri"/>
        </w:rPr>
        <w:t>a assorti le maximum de pension d’une majoration portant la pension afférente aux périodes d’activité antérieures au 1</w:t>
      </w:r>
      <w:r w:rsidRPr="002A5FAA">
        <w:rPr>
          <w:rFonts w:eastAsia="Calibri"/>
          <w:vertAlign w:val="superscript"/>
        </w:rPr>
        <w:t>er</w:t>
      </w:r>
      <w:r w:rsidR="002A5FAA">
        <w:rPr>
          <w:rFonts w:eastAsia="Calibri"/>
        </w:rPr>
        <w:t xml:space="preserve"> </w:t>
      </w:r>
      <w:r w:rsidRPr="001143D7">
        <w:rPr>
          <w:rFonts w:eastAsia="Calibri"/>
        </w:rPr>
        <w:t>janvier 1979 au niveau du minimum de pension (défini à l’article L 351-10 CSS).</w:t>
      </w:r>
    </w:p>
    <w:p w14:paraId="0FBAD197" w14:textId="77777777" w:rsidR="001143D7" w:rsidRPr="001143D7" w:rsidRDefault="001143D7" w:rsidP="009F2B38">
      <w:pPr>
        <w:pStyle w:val="Paragraphe12"/>
        <w:rPr>
          <w:rFonts w:eastAsia="Calibri"/>
        </w:rPr>
      </w:pPr>
      <w:r w:rsidRPr="001143D7">
        <w:rPr>
          <w:rFonts w:eastAsia="Calibri"/>
        </w:rPr>
        <w:t>Il a inséré un paragraphe V bis dans le décret 2006-1325 :</w:t>
      </w:r>
    </w:p>
    <w:p w14:paraId="0D07418F" w14:textId="77777777" w:rsidR="001143D7" w:rsidRPr="001143D7" w:rsidRDefault="001143D7" w:rsidP="009F2B38">
      <w:pPr>
        <w:pStyle w:val="Citation1"/>
      </w:pPr>
      <w:r w:rsidRPr="001143D7">
        <w:t>« Cette majoration est calculée à partir de l’écart entre, d’une part, le maximum de pension fixé en application des dispositions de l’article D. 721-7 du code de la sécurité sociale et déterminé compte tenu des dispositions du III du présent article et, d’autre part, le montant du minimum de pension, non majoré au titre des périodes ayant donné lieu à cotisations à la charge de l’assuré, fixé en application des dispositions de l’article L. 351-10 de ce même code. »</w:t>
      </w:r>
    </w:p>
    <w:p w14:paraId="6A6ACB29" w14:textId="77777777" w:rsidR="001143D7" w:rsidRPr="001E751F" w:rsidRDefault="001143D7" w:rsidP="006F7EA6">
      <w:pPr>
        <w:pStyle w:val="Rfrence"/>
      </w:pPr>
      <w:r>
        <w:t>Cf. pièce 43 précitée. Article V bis.</w:t>
      </w:r>
    </w:p>
    <w:p w14:paraId="1E00D749" w14:textId="77777777" w:rsidR="001143D7" w:rsidRPr="001143D7" w:rsidRDefault="001143D7" w:rsidP="009F2B38">
      <w:pPr>
        <w:pStyle w:val="Paragraphe12"/>
      </w:pPr>
      <w:r w:rsidRPr="001143D7">
        <w:t xml:space="preserve">Là encore, il ne s’agit pas d’une application des dispositions de l’article L 351-10 CSS, mais d’une majoration qui porte la pension </w:t>
      </w:r>
      <w:r w:rsidRPr="001143D7">
        <w:rPr>
          <w:u w:val="single"/>
        </w:rPr>
        <w:t>au niveau</w:t>
      </w:r>
      <w:r w:rsidRPr="001143D7">
        <w:t xml:space="preserve"> du minimum de pension défini à l’article L 351-10. </w:t>
      </w:r>
    </w:p>
    <w:p w14:paraId="214FDADF" w14:textId="77777777" w:rsidR="001143D7" w:rsidRPr="001143D7" w:rsidRDefault="001143D7" w:rsidP="009F2B38">
      <w:pPr>
        <w:pStyle w:val="Paragraphe12"/>
      </w:pPr>
      <w:r w:rsidRPr="001143D7">
        <w:t xml:space="preserve">Le calcul est rapporté au nombre de trimestres nécessaires pour obtenir le « taux plein » et non pas à l’ensemble des trimestres tous régimes confondus comme le demanderait l’application de l’article L 351-10. </w:t>
      </w:r>
    </w:p>
    <w:p w14:paraId="0F8C5E34" w14:textId="77777777" w:rsidR="001143D7" w:rsidRPr="001143D7" w:rsidRDefault="001143D7" w:rsidP="009F2B38">
      <w:pPr>
        <w:pStyle w:val="Citation1"/>
      </w:pPr>
      <w:r w:rsidRPr="001143D7">
        <w:t>« La majoration est attribuée au prorata du nombre de trimestres d’assurance accomplis par l’assuré antérieurement au 1</w:t>
      </w:r>
      <w:r w:rsidRPr="001143D7">
        <w:rPr>
          <w:vertAlign w:val="superscript"/>
        </w:rPr>
        <w:t>er</w:t>
      </w:r>
      <w:r>
        <w:t xml:space="preserve"> </w:t>
      </w:r>
      <w:r w:rsidRPr="001143D7">
        <w:t xml:space="preserve">janvier 1979, </w:t>
      </w:r>
      <w:r w:rsidRPr="00316092">
        <w:rPr>
          <w:u w:val="single"/>
        </w:rPr>
        <w:t>rapporté au nombre de trimestres nécessaires pour atteindre la durée maximale fixée à l’article R. 351-6 du code de la sécurité sociale</w:t>
      </w:r>
      <w:r w:rsidRPr="001143D7">
        <w:t>. »</w:t>
      </w:r>
    </w:p>
    <w:p w14:paraId="1706A56B" w14:textId="77777777" w:rsidR="001143D7" w:rsidRPr="00B01C64" w:rsidRDefault="001143D7" w:rsidP="006F7EA6">
      <w:pPr>
        <w:pStyle w:val="Rfrence"/>
      </w:pPr>
      <w:r>
        <w:t>Cf. Pièce 43 précité</w:t>
      </w:r>
      <w:r w:rsidR="00F84E8B">
        <w:t>e</w:t>
      </w:r>
      <w:r>
        <w:t>. Article V bis.</w:t>
      </w:r>
    </w:p>
    <w:p w14:paraId="7504BA02" w14:textId="77777777" w:rsidR="001143D7" w:rsidRDefault="001143D7" w:rsidP="009F2B38">
      <w:pPr>
        <w:pStyle w:val="Paragraphe12"/>
        <w:spacing w:after="120"/>
      </w:pPr>
      <w:r>
        <w:t xml:space="preserve">Ainsi, </w:t>
      </w:r>
      <w:r w:rsidRPr="004F543E">
        <w:t xml:space="preserve">à </w:t>
      </w:r>
      <w:r w:rsidRPr="001143D7">
        <w:t>compter</w:t>
      </w:r>
      <w:r w:rsidRPr="004F543E">
        <w:t xml:space="preserve"> du 1</w:t>
      </w:r>
      <w:r w:rsidRPr="004F543E">
        <w:rPr>
          <w:vertAlign w:val="superscript"/>
        </w:rPr>
        <w:t>er</w:t>
      </w:r>
      <w:r w:rsidRPr="004F543E">
        <w:t xml:space="preserve"> février 2010, la </w:t>
      </w:r>
      <w:r w:rsidRPr="001143D7">
        <w:t>pension</w:t>
      </w:r>
      <w:r>
        <w:t xml:space="preserve"> </w:t>
      </w:r>
      <w:r w:rsidRPr="004F543E">
        <w:t xml:space="preserve">Cavimac </w:t>
      </w:r>
      <w:r>
        <w:t>est constituée de trois fractions de</w:t>
      </w:r>
      <w:r w:rsidRPr="004F543E">
        <w:t xml:space="preserve"> pensions (au prorata du nombre de trimestres validés pour chaque période)</w:t>
      </w:r>
      <w:r>
        <w:t> :</w:t>
      </w:r>
    </w:p>
    <w:tbl>
      <w:tblPr>
        <w:tblStyle w:val="Grilledutableau"/>
        <w:tblW w:w="0" w:type="auto"/>
        <w:tblLook w:val="04A0" w:firstRow="1" w:lastRow="0" w:firstColumn="1" w:lastColumn="0" w:noHBand="0" w:noVBand="1"/>
      </w:tblPr>
      <w:tblGrid>
        <w:gridCol w:w="1271"/>
        <w:gridCol w:w="2835"/>
        <w:gridCol w:w="4954"/>
      </w:tblGrid>
      <w:tr w:rsidR="001143D7" w:rsidRPr="000B195E" w14:paraId="08F93A9D" w14:textId="77777777" w:rsidTr="00705E74">
        <w:tc>
          <w:tcPr>
            <w:tcW w:w="1271" w:type="dxa"/>
          </w:tcPr>
          <w:p w14:paraId="5160CB26" w14:textId="77777777" w:rsidR="001143D7" w:rsidRPr="000B195E" w:rsidRDefault="001143D7" w:rsidP="009F2B38">
            <w:pPr>
              <w:pStyle w:val="Paragraphe12"/>
              <w:spacing w:before="60" w:after="60"/>
              <w:jc w:val="center"/>
              <w:rPr>
                <w:rFonts w:eastAsia="Calibri"/>
                <w:sz w:val="20"/>
                <w:szCs w:val="20"/>
              </w:rPr>
            </w:pPr>
          </w:p>
        </w:tc>
        <w:tc>
          <w:tcPr>
            <w:tcW w:w="2835" w:type="dxa"/>
          </w:tcPr>
          <w:p w14:paraId="095E445A" w14:textId="77777777" w:rsidR="001143D7" w:rsidRPr="000B195E" w:rsidRDefault="001143D7" w:rsidP="009F2B38">
            <w:pPr>
              <w:pStyle w:val="Paragraphe12"/>
              <w:spacing w:before="60" w:after="60"/>
              <w:jc w:val="center"/>
              <w:rPr>
                <w:rFonts w:eastAsia="Calibri"/>
                <w:sz w:val="20"/>
                <w:szCs w:val="20"/>
              </w:rPr>
            </w:pPr>
            <w:r w:rsidRPr="000B195E">
              <w:rPr>
                <w:rFonts w:eastAsia="Calibri"/>
                <w:sz w:val="20"/>
                <w:szCs w:val="20"/>
              </w:rPr>
              <w:t>Périodes</w:t>
            </w:r>
          </w:p>
        </w:tc>
        <w:tc>
          <w:tcPr>
            <w:tcW w:w="4954" w:type="dxa"/>
          </w:tcPr>
          <w:p w14:paraId="0070F87B" w14:textId="77777777" w:rsidR="001143D7" w:rsidRPr="000B195E" w:rsidRDefault="001143D7" w:rsidP="009F2B38">
            <w:pPr>
              <w:pStyle w:val="Paragraphe12"/>
              <w:spacing w:before="60" w:after="60"/>
              <w:jc w:val="center"/>
              <w:rPr>
                <w:rFonts w:eastAsia="Calibri"/>
                <w:sz w:val="20"/>
                <w:szCs w:val="20"/>
              </w:rPr>
            </w:pPr>
            <w:r w:rsidRPr="000B195E">
              <w:rPr>
                <w:rFonts w:eastAsia="Calibri"/>
                <w:sz w:val="20"/>
                <w:szCs w:val="20"/>
              </w:rPr>
              <w:t>Mode de calcul de la pension</w:t>
            </w:r>
          </w:p>
        </w:tc>
      </w:tr>
      <w:tr w:rsidR="001143D7" w:rsidRPr="000B195E" w14:paraId="32D2438A" w14:textId="77777777" w:rsidTr="00705E74">
        <w:tc>
          <w:tcPr>
            <w:tcW w:w="1271" w:type="dxa"/>
          </w:tcPr>
          <w:p w14:paraId="5C4A47CA" w14:textId="77777777" w:rsidR="001143D7" w:rsidRPr="000B195E" w:rsidRDefault="001143D7" w:rsidP="009F2B38">
            <w:pPr>
              <w:pStyle w:val="Paragraphe12"/>
              <w:spacing w:before="60" w:after="60"/>
              <w:jc w:val="center"/>
              <w:rPr>
                <w:rFonts w:eastAsia="Calibri"/>
                <w:sz w:val="20"/>
                <w:szCs w:val="20"/>
              </w:rPr>
            </w:pPr>
            <w:r w:rsidRPr="000B195E">
              <w:rPr>
                <w:rFonts w:eastAsia="Calibri"/>
                <w:sz w:val="20"/>
                <w:szCs w:val="20"/>
              </w:rPr>
              <w:t>Pension 1</w:t>
            </w:r>
            <w:r>
              <w:rPr>
                <w:rFonts w:eastAsia="Calibri"/>
                <w:sz w:val="20"/>
                <w:szCs w:val="20"/>
              </w:rPr>
              <w:t>a</w:t>
            </w:r>
          </w:p>
        </w:tc>
        <w:tc>
          <w:tcPr>
            <w:tcW w:w="2835" w:type="dxa"/>
          </w:tcPr>
          <w:p w14:paraId="28B102EA" w14:textId="77777777" w:rsidR="001143D7" w:rsidRPr="000B195E" w:rsidRDefault="001143D7" w:rsidP="009F2B38">
            <w:pPr>
              <w:pStyle w:val="Paragraphe12"/>
              <w:spacing w:before="60" w:after="60"/>
              <w:jc w:val="center"/>
              <w:rPr>
                <w:rFonts w:eastAsia="Calibri"/>
                <w:sz w:val="20"/>
                <w:szCs w:val="20"/>
              </w:rPr>
            </w:pPr>
            <w:r w:rsidRPr="000B195E">
              <w:rPr>
                <w:rFonts w:eastAsia="Calibri"/>
                <w:sz w:val="20"/>
                <w:szCs w:val="20"/>
              </w:rPr>
              <w:t xml:space="preserve">Antérieures au </w:t>
            </w:r>
            <w:r>
              <w:rPr>
                <w:rFonts w:eastAsia="Calibri"/>
                <w:sz w:val="20"/>
                <w:szCs w:val="20"/>
              </w:rPr>
              <w:t>01/01/1979</w:t>
            </w:r>
          </w:p>
        </w:tc>
        <w:tc>
          <w:tcPr>
            <w:tcW w:w="4954" w:type="dxa"/>
          </w:tcPr>
          <w:p w14:paraId="29C983CE" w14:textId="77777777" w:rsidR="001143D7" w:rsidRPr="000B195E" w:rsidRDefault="001143D7" w:rsidP="009F2B38">
            <w:pPr>
              <w:pStyle w:val="Paragraphe12"/>
              <w:spacing w:before="60" w:after="60"/>
              <w:jc w:val="center"/>
              <w:rPr>
                <w:rFonts w:eastAsia="Calibri"/>
                <w:sz w:val="20"/>
                <w:szCs w:val="20"/>
              </w:rPr>
            </w:pPr>
            <w:r>
              <w:rPr>
                <w:rFonts w:eastAsia="Calibri"/>
                <w:sz w:val="20"/>
                <w:szCs w:val="20"/>
              </w:rPr>
              <w:t>Niveau du minimum de pension</w:t>
            </w:r>
          </w:p>
        </w:tc>
      </w:tr>
      <w:tr w:rsidR="001143D7" w:rsidRPr="000B195E" w14:paraId="0E6DAC2A" w14:textId="77777777" w:rsidTr="00705E74">
        <w:tc>
          <w:tcPr>
            <w:tcW w:w="1271" w:type="dxa"/>
          </w:tcPr>
          <w:p w14:paraId="4775C678" w14:textId="77777777" w:rsidR="001143D7" w:rsidRPr="000B195E" w:rsidRDefault="001143D7" w:rsidP="009F2B38">
            <w:pPr>
              <w:pStyle w:val="Paragraphe12"/>
              <w:spacing w:before="60" w:after="60"/>
              <w:jc w:val="center"/>
              <w:rPr>
                <w:rFonts w:eastAsia="Calibri"/>
                <w:sz w:val="20"/>
                <w:szCs w:val="20"/>
              </w:rPr>
            </w:pPr>
            <w:r>
              <w:rPr>
                <w:rFonts w:eastAsia="Calibri"/>
                <w:sz w:val="20"/>
                <w:szCs w:val="20"/>
              </w:rPr>
              <w:t>Pension 1b</w:t>
            </w:r>
          </w:p>
        </w:tc>
        <w:tc>
          <w:tcPr>
            <w:tcW w:w="2835" w:type="dxa"/>
          </w:tcPr>
          <w:p w14:paraId="0C4BD26C" w14:textId="77777777" w:rsidR="001143D7" w:rsidRPr="000B195E" w:rsidRDefault="001143D7" w:rsidP="009F2B38">
            <w:pPr>
              <w:pStyle w:val="Paragraphe12"/>
              <w:spacing w:before="60" w:after="60"/>
              <w:jc w:val="center"/>
              <w:rPr>
                <w:rFonts w:eastAsia="Calibri"/>
                <w:sz w:val="20"/>
                <w:szCs w:val="20"/>
              </w:rPr>
            </w:pPr>
            <w:r>
              <w:rPr>
                <w:rFonts w:eastAsia="Calibri"/>
                <w:sz w:val="20"/>
                <w:szCs w:val="20"/>
              </w:rPr>
              <w:t>Du 01/01/1979 au 31/12/1997</w:t>
            </w:r>
          </w:p>
        </w:tc>
        <w:tc>
          <w:tcPr>
            <w:tcW w:w="4954" w:type="dxa"/>
          </w:tcPr>
          <w:p w14:paraId="53D43121" w14:textId="77777777" w:rsidR="001143D7" w:rsidRPr="000B195E" w:rsidRDefault="001143D7" w:rsidP="009F2B38">
            <w:pPr>
              <w:pStyle w:val="Paragraphe12"/>
              <w:spacing w:before="60" w:after="60"/>
              <w:jc w:val="center"/>
              <w:rPr>
                <w:rFonts w:eastAsia="Calibri"/>
                <w:sz w:val="20"/>
                <w:szCs w:val="20"/>
              </w:rPr>
            </w:pPr>
            <w:r>
              <w:rPr>
                <w:rFonts w:eastAsia="Calibri"/>
                <w:sz w:val="20"/>
                <w:szCs w:val="20"/>
              </w:rPr>
              <w:t>Niveau du minimum de pension majoré</w:t>
            </w:r>
          </w:p>
        </w:tc>
      </w:tr>
      <w:tr w:rsidR="001143D7" w:rsidRPr="000B195E" w14:paraId="12E46CFB" w14:textId="77777777" w:rsidTr="00705E74">
        <w:tc>
          <w:tcPr>
            <w:tcW w:w="1271" w:type="dxa"/>
          </w:tcPr>
          <w:p w14:paraId="20726D53" w14:textId="77777777" w:rsidR="001143D7" w:rsidRPr="000B195E" w:rsidRDefault="001143D7" w:rsidP="009F2B38">
            <w:pPr>
              <w:pStyle w:val="Paragraphe12"/>
              <w:spacing w:before="60" w:after="60"/>
              <w:jc w:val="center"/>
              <w:rPr>
                <w:rFonts w:eastAsia="Calibri"/>
                <w:sz w:val="20"/>
                <w:szCs w:val="20"/>
              </w:rPr>
            </w:pPr>
            <w:r w:rsidRPr="000B195E">
              <w:rPr>
                <w:rFonts w:eastAsia="Calibri"/>
                <w:sz w:val="20"/>
                <w:szCs w:val="20"/>
              </w:rPr>
              <w:t>Pension 2</w:t>
            </w:r>
          </w:p>
        </w:tc>
        <w:tc>
          <w:tcPr>
            <w:tcW w:w="2835" w:type="dxa"/>
          </w:tcPr>
          <w:p w14:paraId="60D8C71E" w14:textId="77777777" w:rsidR="001143D7" w:rsidRPr="000B195E" w:rsidRDefault="001143D7" w:rsidP="009F2B38">
            <w:pPr>
              <w:pStyle w:val="Paragraphe12"/>
              <w:spacing w:before="60" w:after="60"/>
              <w:jc w:val="center"/>
              <w:rPr>
                <w:rFonts w:eastAsia="Calibri"/>
                <w:sz w:val="20"/>
                <w:szCs w:val="20"/>
              </w:rPr>
            </w:pPr>
            <w:r w:rsidRPr="000B195E">
              <w:rPr>
                <w:rFonts w:eastAsia="Calibri"/>
                <w:sz w:val="20"/>
                <w:szCs w:val="20"/>
              </w:rPr>
              <w:t>Postérieures au 01/01/1998</w:t>
            </w:r>
          </w:p>
        </w:tc>
        <w:tc>
          <w:tcPr>
            <w:tcW w:w="4954" w:type="dxa"/>
          </w:tcPr>
          <w:p w14:paraId="775BAC0D" w14:textId="77777777" w:rsidR="001143D7" w:rsidRPr="000B195E" w:rsidRDefault="001143D7" w:rsidP="009F2B38">
            <w:pPr>
              <w:pStyle w:val="Paragraphe12"/>
              <w:spacing w:before="60" w:after="60"/>
              <w:jc w:val="center"/>
              <w:rPr>
                <w:rFonts w:eastAsia="Calibri"/>
                <w:sz w:val="20"/>
                <w:szCs w:val="20"/>
              </w:rPr>
            </w:pPr>
            <w:r w:rsidRPr="000B195E">
              <w:rPr>
                <w:rFonts w:eastAsia="Calibri"/>
                <w:sz w:val="20"/>
                <w:szCs w:val="20"/>
              </w:rPr>
              <w:t>Mêmes règles que le régime général.</w:t>
            </w:r>
          </w:p>
        </w:tc>
      </w:tr>
    </w:tbl>
    <w:p w14:paraId="60358F35" w14:textId="77777777" w:rsidR="001143D7" w:rsidRDefault="001143D7" w:rsidP="009F2B38">
      <w:pPr>
        <w:pStyle w:val="Paragraphe12"/>
      </w:pPr>
      <w:r>
        <w:t>Après avoir expliqué les modalités du calcul de la pension Cavimac, nous apporterons, sous le titre suivant, les éléments qui montrent que les dispositions de l’article L 351-10 CSS ne sont pas applicables à la fraction de pension afférente aux périodes d’activité 1979-1997.</w:t>
      </w:r>
    </w:p>
    <w:p w14:paraId="01C3BCAC" w14:textId="77777777" w:rsidR="001143D7" w:rsidRDefault="001143D7" w:rsidP="009F2B38">
      <w:pPr>
        <w:spacing w:before="0" w:after="200" w:line="276" w:lineRule="auto"/>
      </w:pPr>
    </w:p>
    <w:p w14:paraId="4D29D2D9" w14:textId="77777777" w:rsidR="00FF4EE7" w:rsidRDefault="001143D7" w:rsidP="009F2B38">
      <w:pPr>
        <w:spacing w:before="0" w:after="200" w:line="276" w:lineRule="auto"/>
        <w:rPr>
          <w:rFonts w:eastAsia="Calibri"/>
          <w:b/>
          <w:smallCaps/>
          <w:spacing w:val="-4"/>
          <w:szCs w:val="24"/>
          <w:lang w:eastAsia="x-none"/>
        </w:rPr>
      </w:pPr>
      <w:r>
        <w:br w:type="page"/>
      </w:r>
    </w:p>
    <w:p w14:paraId="588AA9CC" w14:textId="77777777" w:rsidR="00C47FC2" w:rsidRDefault="00C47FC2" w:rsidP="009F2B38">
      <w:pPr>
        <w:pStyle w:val="Titre2"/>
      </w:pPr>
      <w:bookmarkStart w:id="22" w:name="_Toc511477546"/>
      <w:bookmarkStart w:id="23" w:name="_Toc83391254"/>
      <w:bookmarkEnd w:id="20"/>
      <w:r>
        <w:lastRenderedPageBreak/>
        <w:t>L’article L 351-10 CSS n’est pas applicable à la période 1979-1997</w:t>
      </w:r>
      <w:bookmarkEnd w:id="22"/>
      <w:bookmarkEnd w:id="23"/>
    </w:p>
    <w:p w14:paraId="4D70C33E" w14:textId="77777777" w:rsidR="00974AFE" w:rsidRDefault="00974AFE" w:rsidP="00974AFE">
      <w:pPr>
        <w:pStyle w:val="Titre3"/>
      </w:pPr>
      <w:bookmarkStart w:id="24" w:name="_Toc511477547"/>
      <w:bookmarkStart w:id="25" w:name="_Toc511477548"/>
      <w:r>
        <w:t>2004 : une lettre ministérielle ambigüe</w:t>
      </w:r>
      <w:bookmarkEnd w:id="24"/>
    </w:p>
    <w:p w14:paraId="79FF0194" w14:textId="77777777" w:rsidR="00974AFE" w:rsidRDefault="00974AFE" w:rsidP="00974AFE">
      <w:pPr>
        <w:pStyle w:val="Paragraphe12"/>
      </w:pPr>
      <w:r>
        <w:t>En 2003, les discussions au sujet des retraites portaient notamment sur l’amélioration des petites retraites. C’est ainsi que la loi 2003-775 du 21 août 2003 portant réforme des retraites, a créé, en son article 26, une majoration du minimum de pension défini à l’article L 351-10 CSS.</w:t>
      </w:r>
    </w:p>
    <w:p w14:paraId="46EC85B9" w14:textId="77777777" w:rsidR="00974AFE" w:rsidRDefault="00974AFE" w:rsidP="00974AFE">
      <w:pPr>
        <w:pStyle w:val="Paragraphe12"/>
      </w:pPr>
      <w:r>
        <w:t xml:space="preserve">Les cultes ont alors sollicité Monsieur DOUSTE-BLAZY, ministre de tutelle de la Cavimac. Celui-ci a décidé </w:t>
      </w:r>
      <w:r w:rsidRPr="00705E74">
        <w:rPr>
          <w:spacing w:val="-2"/>
        </w:rPr>
        <w:t>de faire appliquer une majoration au maximum de pension pour le porter au niveau du minimum contributif majoré.</w:t>
      </w:r>
    </w:p>
    <w:p w14:paraId="7AD2E6E4" w14:textId="77777777" w:rsidR="00974AFE" w:rsidRDefault="00974AFE" w:rsidP="006F7EA6">
      <w:pPr>
        <w:pStyle w:val="Rfrence"/>
      </w:pPr>
      <w:r>
        <w:t xml:space="preserve">Pièce 52. </w:t>
      </w:r>
      <w:r w:rsidRPr="00E32231">
        <w:t>Lettre</w:t>
      </w:r>
      <w:r>
        <w:t xml:space="preserve"> ministérielle du 12 juillet 2004.</w:t>
      </w:r>
    </w:p>
    <w:p w14:paraId="07F0AD1F" w14:textId="77777777" w:rsidR="00974AFE" w:rsidRPr="00705E74" w:rsidRDefault="00974AFE" w:rsidP="00974AFE">
      <w:pPr>
        <w:pStyle w:val="Paragraphe12"/>
      </w:pPr>
      <w:r w:rsidRPr="00705E74">
        <w:t>Cette lettre ministérielle a donc permis à la Cavimac d’appliquer une majoration dès le 1</w:t>
      </w:r>
      <w:r w:rsidRPr="00751A33">
        <w:rPr>
          <w:vertAlign w:val="superscript"/>
        </w:rPr>
        <w:t>er</w:t>
      </w:r>
      <w:r w:rsidRPr="00705E74">
        <w:t xml:space="preserve"> janvier 2004.</w:t>
      </w:r>
    </w:p>
    <w:p w14:paraId="372E2E24" w14:textId="77777777" w:rsidR="00974AFE" w:rsidRPr="00A23E5B" w:rsidRDefault="00974AFE" w:rsidP="00974AFE">
      <w:pPr>
        <w:pStyle w:val="Paragraphe12"/>
      </w:pPr>
      <w:r>
        <w:t>En raison des ambiguïtés du premier alinéa de la lettre qui rappelle l’engagement du gouvernement et du contexte de la loi 2003-775, la Cavimac a cru qu’elle devait appliquer toutes les dispositions de l’article L 351-10 CSS, alors qu’elle devait seulement porter la pension au niveau du minimum contributif majoré.</w:t>
      </w:r>
    </w:p>
    <w:p w14:paraId="01ACF78B" w14:textId="77777777" w:rsidR="00974AFE" w:rsidRDefault="00974AFE" w:rsidP="00974AFE">
      <w:pPr>
        <w:pStyle w:val="Paragraphe12"/>
      </w:pPr>
      <w:r>
        <w:t>En effet, la lettre ministérielle ne pouvait pas déroger à la loi n° 97-1164 du 19 décembre 1997 (Cf. pièce 51) qui a créé l’article L 721-6, al. 2 et ne pouvait donc pas appliquer les dispositions de l’article L 351-10 aux périodes antérieures au 1</w:t>
      </w:r>
      <w:r w:rsidRPr="00751A33">
        <w:rPr>
          <w:vertAlign w:val="superscript"/>
        </w:rPr>
        <w:t>er</w:t>
      </w:r>
      <w:r>
        <w:t xml:space="preserve"> janvier 1998.</w:t>
      </w:r>
    </w:p>
    <w:p w14:paraId="63A14884" w14:textId="77777777" w:rsidR="00974AFE" w:rsidRDefault="00974AFE" w:rsidP="00974AFE">
      <w:pPr>
        <w:pStyle w:val="Paragraphe12"/>
      </w:pPr>
      <w:r>
        <w:t>En effet, cette loi stipule : « </w:t>
      </w:r>
      <w:r w:rsidRPr="00F60AE0">
        <w:rPr>
          <w:i/>
        </w:rPr>
        <w:t>l</w:t>
      </w:r>
      <w:r w:rsidRPr="00F60AE0">
        <w:rPr>
          <w:bCs/>
          <w:i/>
          <w:u w:val="single"/>
        </w:rPr>
        <w:t>e</w:t>
      </w:r>
      <w:r w:rsidRPr="001A44A6">
        <w:rPr>
          <w:bCs/>
          <w:i/>
          <w:u w:val="single"/>
        </w:rPr>
        <w:t>s prestations afférentes aux périodes d’assurance antérieures au 1</w:t>
      </w:r>
      <w:r w:rsidRPr="00F60AE0">
        <w:rPr>
          <w:bCs/>
          <w:i/>
          <w:u w:val="single"/>
          <w:vertAlign w:val="superscript"/>
        </w:rPr>
        <w:t>er</w:t>
      </w:r>
      <w:r w:rsidRPr="001A44A6">
        <w:rPr>
          <w:bCs/>
          <w:i/>
          <w:u w:val="single"/>
        </w:rPr>
        <w:t xml:space="preserve"> janvier 1998 sont indiquées dans les conditions législatives et réglementaires en vigueur au 31 décembre 1997</w:t>
      </w:r>
      <w:r>
        <w:rPr>
          <w:bCs/>
          <w:i/>
          <w:u w:val="single"/>
        </w:rPr>
        <w:t> »</w:t>
      </w:r>
      <w:r w:rsidRPr="001A44A6">
        <w:rPr>
          <w:bCs/>
          <w:i/>
          <w:u w:val="single"/>
        </w:rPr>
        <w:t>.</w:t>
      </w:r>
    </w:p>
    <w:p w14:paraId="3D67D290" w14:textId="77777777" w:rsidR="00974AFE" w:rsidRDefault="00974AFE" w:rsidP="00974AFE">
      <w:pPr>
        <w:pStyle w:val="Paragraphe12"/>
      </w:pPr>
      <w:r>
        <w:t>On remarquera d’ailleurs que la division par l’ensemble des trimestres tous régimes confondus (que la Cavimac applique) est définie dans la première phrase de l’article L 351-10 CSS alors que l’application demandée par la lettre ministérielle se réfère uniquement à la deuxième phrase de cet article.</w:t>
      </w:r>
    </w:p>
    <w:p w14:paraId="5305AA4A" w14:textId="77777777" w:rsidR="00974AFE" w:rsidRDefault="00974AFE" w:rsidP="00974AFE">
      <w:pPr>
        <w:pStyle w:val="Paragraphe12"/>
      </w:pPr>
      <w:r>
        <w:t>De plus, la 2</w:t>
      </w:r>
      <w:r w:rsidRPr="00CC0019">
        <w:rPr>
          <w:vertAlign w:val="superscript"/>
        </w:rPr>
        <w:t>ème</w:t>
      </w:r>
      <w:r>
        <w:t xml:space="preserve"> phrase de l’article L 351-10 CSS stipule qu’il faut avoir au moins 120 trimestres cotisés pour bénéficier du minimum de pension majoré.</w:t>
      </w:r>
    </w:p>
    <w:p w14:paraId="1B62B9C5" w14:textId="77777777" w:rsidR="00974AFE" w:rsidRDefault="00974AFE" w:rsidP="00974AFE">
      <w:pPr>
        <w:pStyle w:val="Paragraphe12"/>
      </w:pPr>
      <w:r>
        <w:t>Or, les périodes d’activité religieuse antérieures à 1979 sont des périodes assimilées. Les trimestres cotisés ne commencent donc qu’au 1</w:t>
      </w:r>
      <w:r w:rsidRPr="00CC0019">
        <w:rPr>
          <w:vertAlign w:val="superscript"/>
        </w:rPr>
        <w:t>er</w:t>
      </w:r>
      <w:r>
        <w:t xml:space="preserve"> janvier 1979. Les 120 trimestres cotisés ne pourront être atteints qu’au 1</w:t>
      </w:r>
      <w:r w:rsidRPr="00CC0019">
        <w:rPr>
          <w:vertAlign w:val="superscript"/>
        </w:rPr>
        <w:t>er</w:t>
      </w:r>
      <w:r>
        <w:t xml:space="preserve"> janvier 2009. En 2004, les assurés de la Cavimac n’ayant eu qu’une activité cultuelle, ne peuvent pas remplir les conditions édictées à la deuxième phrase de l’article L 351-10.</w:t>
      </w:r>
    </w:p>
    <w:p w14:paraId="357D68B9" w14:textId="77777777" w:rsidR="00974AFE" w:rsidRDefault="00974AFE" w:rsidP="00974AFE">
      <w:pPr>
        <w:pStyle w:val="Paragraphe12"/>
      </w:pPr>
      <w:r>
        <w:t>La lettre ministérielle ne pouvait donc viser que le niveau du minimum de pension majoré et non les dispositions de l’article L 351-10 CSS.</w:t>
      </w:r>
    </w:p>
    <w:p w14:paraId="272756DA" w14:textId="77777777" w:rsidR="00974AFE" w:rsidRDefault="00974AFE" w:rsidP="00974AFE">
      <w:pPr>
        <w:pStyle w:val="Paragraphe12"/>
      </w:pPr>
      <w:r>
        <w:t>De plus, la deuxième phrase de l’article L 351-10 CSS correspond à la majoration du minimum de pension, soit 34,28 € en 2004. La lettre ministérielle ne vise évidemment pas ce faible montant mais le niveau atteint par le minimum de pension majoré (558,86 €).</w:t>
      </w:r>
    </w:p>
    <w:p w14:paraId="2B3BB446" w14:textId="77777777" w:rsidR="00974AFE" w:rsidRDefault="00974AFE" w:rsidP="00974AFE">
      <w:pPr>
        <w:pStyle w:val="Paragraphe12"/>
      </w:pPr>
      <w:r>
        <w:t>Voulant éviter de modifier les pensions liquidées par une simple revalorisation du maximum de pension et ne pouvant pas appliquer l’article L 351-10 CSS, la lettre ministérielle a choisi le biais d’une majoration du maximum de pension Cavimac.</w:t>
      </w:r>
    </w:p>
    <w:p w14:paraId="2C7FBB6C" w14:textId="77777777" w:rsidR="00974AFE" w:rsidRDefault="00974AFE" w:rsidP="00974AFE">
      <w:pPr>
        <w:pStyle w:val="Paragraphe12"/>
      </w:pPr>
      <w:r>
        <w:t>Malgré une certaine ambigüité, cette lettre ministérielle n’applique pas les dispositions de l’article L 351-10 CSS, mais un niveau de pension en référence à la 2</w:t>
      </w:r>
      <w:r w:rsidRPr="00CC0019">
        <w:rPr>
          <w:vertAlign w:val="superscript"/>
        </w:rPr>
        <w:t>ème</w:t>
      </w:r>
      <w:r>
        <w:t xml:space="preserve"> phrase de cet article.</w:t>
      </w:r>
    </w:p>
    <w:p w14:paraId="3B45D77B" w14:textId="77777777" w:rsidR="00974AFE" w:rsidRDefault="00974AFE" w:rsidP="00974AFE">
      <w:pPr>
        <w:pStyle w:val="Paragraphe12"/>
      </w:pPr>
      <w:r>
        <w:t xml:space="preserve">D’ailleurs, la Cavimac, elle-même, dans sa circulaire du 15 septembre 2004, précisait qu’il s’agissait du </w:t>
      </w:r>
      <w:r w:rsidRPr="001717DF">
        <w:rPr>
          <w:u w:val="single"/>
        </w:rPr>
        <w:t xml:space="preserve">niveau </w:t>
      </w:r>
      <w:r>
        <w:t>du minimum contributif.</w:t>
      </w:r>
    </w:p>
    <w:p w14:paraId="01685AD6" w14:textId="77777777" w:rsidR="00974AFE" w:rsidRDefault="00974AFE" w:rsidP="006F7EA6">
      <w:pPr>
        <w:pStyle w:val="Rfrence"/>
      </w:pPr>
      <w:r>
        <w:t>Pièce 53. Cavimac. Circulaire du 15 septembre 2004.</w:t>
      </w:r>
    </w:p>
    <w:p w14:paraId="1B716C5B" w14:textId="77777777" w:rsidR="00974AFE" w:rsidRDefault="00974AFE" w:rsidP="00974AFE">
      <w:pPr>
        <w:pStyle w:val="Paragraphe12"/>
        <w:rPr>
          <w:rFonts w:eastAsia="Calibri"/>
          <w:szCs w:val="24"/>
        </w:rPr>
      </w:pPr>
      <w:r>
        <w:br w:type="page"/>
      </w:r>
    </w:p>
    <w:p w14:paraId="204B79D9" w14:textId="77777777" w:rsidR="00C47FC2" w:rsidRDefault="00C47FC2" w:rsidP="009F2B38">
      <w:pPr>
        <w:pStyle w:val="Titre3"/>
      </w:pPr>
      <w:r>
        <w:lastRenderedPageBreak/>
        <w:t>Le décret 2006-1325 a levé toute ambigüité</w:t>
      </w:r>
      <w:bookmarkEnd w:id="25"/>
    </w:p>
    <w:p w14:paraId="0A8E4B6F" w14:textId="77777777" w:rsidR="00C47FC2" w:rsidRDefault="00C47FC2" w:rsidP="009F2B38">
      <w:pPr>
        <w:pStyle w:val="Paragraphe12"/>
      </w:pPr>
      <w:r w:rsidRPr="00705E74">
        <w:t>Comme</w:t>
      </w:r>
      <w:r>
        <w:t xml:space="preserve"> nous l’avons dit (en 1.3), le décret 2006-1325 du 31 octobre 2006</w:t>
      </w:r>
      <w:r w:rsidR="00F62880">
        <w:t xml:space="preserve"> (pièce 43)</w:t>
      </w:r>
      <w:r>
        <w:t xml:space="preserve"> stipule : </w:t>
      </w:r>
    </w:p>
    <w:p w14:paraId="0FF08D63" w14:textId="77777777" w:rsidR="00C47FC2" w:rsidRDefault="00C47FC2" w:rsidP="009F2B38">
      <w:pPr>
        <w:pStyle w:val="Citation1"/>
      </w:pPr>
      <w:r>
        <w:t>« La majoration est attribuée au prorata du nombre de trimestres cotisés par l’assuré entre le 1</w:t>
      </w:r>
      <w:r w:rsidRPr="004D15F6">
        <w:rPr>
          <w:vertAlign w:val="superscript"/>
        </w:rPr>
        <w:t>er</w:t>
      </w:r>
      <w:r>
        <w:t xml:space="preserve"> janvier 1979 et le 31 décembre 1997, </w:t>
      </w:r>
      <w:r w:rsidRPr="007B2174">
        <w:rPr>
          <w:u w:val="single"/>
        </w:rPr>
        <w:t>rapporté au nombre de trimestres nécessaires pour atteindre la durée maximale fixée à l’article R. 351-6 du code de la sécurité sociale</w:t>
      </w:r>
      <w:r>
        <w:t xml:space="preserve"> » (Cf. pièce </w:t>
      </w:r>
      <w:r w:rsidR="00705E74">
        <w:t>43</w:t>
      </w:r>
      <w:r>
        <w:t>, article V).</w:t>
      </w:r>
    </w:p>
    <w:p w14:paraId="1A6CBAF3" w14:textId="77777777" w:rsidR="00C47FC2" w:rsidRDefault="00C47FC2" w:rsidP="009F2B38">
      <w:pPr>
        <w:pStyle w:val="Paragraphe12"/>
      </w:pPr>
      <w:r>
        <w:t>Alors que l’article L 351-10 (1</w:t>
      </w:r>
      <w:r w:rsidRPr="007B2174">
        <w:rPr>
          <w:vertAlign w:val="superscript"/>
        </w:rPr>
        <w:t>ère</w:t>
      </w:r>
      <w:r>
        <w:t xml:space="preserve"> phrase) stipule :</w:t>
      </w:r>
    </w:p>
    <w:p w14:paraId="584CC7A7" w14:textId="77777777" w:rsidR="00C47FC2" w:rsidRPr="00705E74" w:rsidRDefault="00C47FC2" w:rsidP="009F2B38">
      <w:pPr>
        <w:pStyle w:val="Citation1"/>
      </w:pPr>
      <w:r w:rsidRPr="00705E74">
        <w:t>« La pension de vieillesse au taux plein est assortie, le cas échéant, d'une majoration permettant de porter cette prestation, lors de sa liquidation, à un montant minimum tenant compte de la durée d'assurance accomplie par l'assuré dans le régime général, le cas échéant rapportée à la durée d'assurance accomplie tant dans le régime général que dans un ou plusieurs autres régimes obligatoires, lorsque celle-ci dépasse la limite visée au deuxième alinéa de l'article L. 351-1 et fixé par décret. »</w:t>
      </w:r>
    </w:p>
    <w:p w14:paraId="14944788" w14:textId="77777777" w:rsidR="00C47FC2" w:rsidRDefault="00C47FC2" w:rsidP="009F2B38">
      <w:pPr>
        <w:pStyle w:val="Paragraphe12"/>
        <w:spacing w:after="120"/>
      </w:pPr>
      <w:r>
        <w:t>Ainsi les dispositions du décret 2006-1325 sont différentes de celles de l’article L 351-10 CSS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29"/>
      </w:tblGrid>
      <w:tr w:rsidR="00C47FC2" w:rsidRPr="004F21FD" w14:paraId="44B2D0F9" w14:textId="77777777" w:rsidTr="00705E74">
        <w:tc>
          <w:tcPr>
            <w:tcW w:w="4423" w:type="dxa"/>
            <w:shd w:val="clear" w:color="auto" w:fill="auto"/>
          </w:tcPr>
          <w:p w14:paraId="1788FB89" w14:textId="77777777" w:rsidR="00C47FC2" w:rsidRPr="004F21FD" w:rsidRDefault="00C47FC2" w:rsidP="009F2B38">
            <w:pPr>
              <w:spacing w:before="120"/>
              <w:ind w:left="142"/>
              <w:jc w:val="center"/>
              <w:rPr>
                <w:rFonts w:ascii="Arial Narrow" w:hAnsi="Arial Narrow"/>
                <w:sz w:val="20"/>
              </w:rPr>
            </w:pPr>
            <w:r w:rsidRPr="004F21FD">
              <w:rPr>
                <w:rFonts w:ascii="Arial Narrow" w:hAnsi="Arial Narrow"/>
                <w:sz w:val="20"/>
              </w:rPr>
              <w:t>Décret 2006-1325</w:t>
            </w:r>
          </w:p>
        </w:tc>
        <w:tc>
          <w:tcPr>
            <w:tcW w:w="4529" w:type="dxa"/>
            <w:shd w:val="clear" w:color="auto" w:fill="auto"/>
          </w:tcPr>
          <w:p w14:paraId="7D26630C" w14:textId="77777777" w:rsidR="00C47FC2" w:rsidRPr="004F21FD" w:rsidRDefault="00C47FC2" w:rsidP="009F2B38">
            <w:pPr>
              <w:spacing w:before="120"/>
              <w:ind w:left="142"/>
              <w:jc w:val="center"/>
              <w:rPr>
                <w:rFonts w:ascii="Arial Narrow" w:hAnsi="Arial Narrow"/>
                <w:sz w:val="20"/>
              </w:rPr>
            </w:pPr>
            <w:r w:rsidRPr="004F21FD">
              <w:rPr>
                <w:rFonts w:ascii="Arial Narrow" w:hAnsi="Arial Narrow"/>
                <w:sz w:val="20"/>
              </w:rPr>
              <w:t>Article L 351-10 CSS</w:t>
            </w:r>
          </w:p>
        </w:tc>
      </w:tr>
      <w:tr w:rsidR="00C47FC2" w:rsidRPr="004F21FD" w14:paraId="710C757D" w14:textId="77777777" w:rsidTr="00705E74">
        <w:tc>
          <w:tcPr>
            <w:tcW w:w="4423" w:type="dxa"/>
            <w:shd w:val="clear" w:color="auto" w:fill="auto"/>
          </w:tcPr>
          <w:p w14:paraId="1B07C5FD" w14:textId="77777777" w:rsidR="00C47FC2" w:rsidRPr="004F21FD" w:rsidRDefault="00C47FC2" w:rsidP="009F2B38">
            <w:pPr>
              <w:spacing w:before="120"/>
              <w:jc w:val="both"/>
              <w:rPr>
                <w:rFonts w:ascii="Arial Narrow" w:hAnsi="Arial Narrow"/>
                <w:sz w:val="20"/>
              </w:rPr>
            </w:pPr>
            <w:r w:rsidRPr="004F21FD">
              <w:rPr>
                <w:rFonts w:ascii="Arial Narrow" w:hAnsi="Arial Narrow"/>
                <w:sz w:val="20"/>
              </w:rPr>
              <w:t>La majoration est rapportée</w:t>
            </w:r>
            <w:r>
              <w:rPr>
                <w:rFonts w:ascii="Arial Narrow" w:hAnsi="Arial Narrow"/>
                <w:sz w:val="20"/>
              </w:rPr>
              <w:t xml:space="preserve"> </w:t>
            </w:r>
            <w:r w:rsidRPr="004F21FD">
              <w:rPr>
                <w:rFonts w:ascii="Arial Narrow" w:hAnsi="Arial Narrow"/>
                <w:sz w:val="20"/>
              </w:rPr>
              <w:t>au nombre de trimestres nécessaires pour atteindre une pension à taux plein.</w:t>
            </w:r>
          </w:p>
        </w:tc>
        <w:tc>
          <w:tcPr>
            <w:tcW w:w="4529" w:type="dxa"/>
            <w:shd w:val="clear" w:color="auto" w:fill="auto"/>
          </w:tcPr>
          <w:p w14:paraId="1443331C" w14:textId="77777777" w:rsidR="00C47FC2" w:rsidRPr="004F21FD" w:rsidRDefault="00C47FC2" w:rsidP="009F2B38">
            <w:pPr>
              <w:spacing w:before="120"/>
              <w:jc w:val="both"/>
              <w:rPr>
                <w:rFonts w:ascii="Arial Narrow" w:hAnsi="Arial Narrow"/>
                <w:sz w:val="20"/>
              </w:rPr>
            </w:pPr>
            <w:r w:rsidRPr="004F21FD">
              <w:rPr>
                <w:rFonts w:ascii="Arial Narrow" w:hAnsi="Arial Narrow"/>
                <w:sz w:val="20"/>
              </w:rPr>
              <w:t>Le « minimum contributif » est rapporté au nombre total de trimestres validés, tous régimes confondus.</w:t>
            </w:r>
          </w:p>
        </w:tc>
      </w:tr>
      <w:tr w:rsidR="00C47FC2" w:rsidRPr="004F21FD" w14:paraId="1A4C02C5" w14:textId="77777777" w:rsidTr="00705E74">
        <w:tc>
          <w:tcPr>
            <w:tcW w:w="4423" w:type="dxa"/>
            <w:shd w:val="clear" w:color="auto" w:fill="auto"/>
          </w:tcPr>
          <w:p w14:paraId="06041EB8" w14:textId="77777777" w:rsidR="00C47FC2" w:rsidRPr="004F21FD" w:rsidRDefault="00C47FC2" w:rsidP="009F2B38">
            <w:pPr>
              <w:spacing w:before="120"/>
              <w:jc w:val="both"/>
              <w:rPr>
                <w:rFonts w:ascii="Arial Narrow" w:hAnsi="Arial Narrow"/>
                <w:sz w:val="20"/>
              </w:rPr>
            </w:pPr>
            <w:r w:rsidRPr="004F21FD">
              <w:rPr>
                <w:rFonts w:ascii="Arial Narrow" w:hAnsi="Arial Narrow"/>
                <w:sz w:val="20"/>
              </w:rPr>
              <w:t>Pas de condition de pension à taux plein</w:t>
            </w:r>
            <w:r>
              <w:rPr>
                <w:rFonts w:ascii="Arial Narrow" w:hAnsi="Arial Narrow"/>
                <w:sz w:val="20"/>
              </w:rPr>
              <w:t>.</w:t>
            </w:r>
          </w:p>
        </w:tc>
        <w:tc>
          <w:tcPr>
            <w:tcW w:w="4529" w:type="dxa"/>
            <w:shd w:val="clear" w:color="auto" w:fill="auto"/>
          </w:tcPr>
          <w:p w14:paraId="671B384E" w14:textId="77777777" w:rsidR="00C47FC2" w:rsidRPr="004F21FD" w:rsidRDefault="00C47FC2" w:rsidP="009F2B38">
            <w:pPr>
              <w:spacing w:before="120"/>
              <w:jc w:val="both"/>
              <w:rPr>
                <w:rFonts w:ascii="Arial Narrow" w:hAnsi="Arial Narrow"/>
                <w:sz w:val="20"/>
              </w:rPr>
            </w:pPr>
            <w:r w:rsidRPr="004F21FD">
              <w:rPr>
                <w:rFonts w:ascii="Arial Narrow" w:hAnsi="Arial Narrow"/>
                <w:sz w:val="20"/>
              </w:rPr>
              <w:t>Le « minimum contributif » est accordé seulement si la pension est à taux plein.</w:t>
            </w:r>
          </w:p>
        </w:tc>
      </w:tr>
      <w:tr w:rsidR="00C47FC2" w:rsidRPr="004F21FD" w14:paraId="441F16AF" w14:textId="77777777" w:rsidTr="00705E74">
        <w:tc>
          <w:tcPr>
            <w:tcW w:w="4423" w:type="dxa"/>
            <w:shd w:val="clear" w:color="auto" w:fill="auto"/>
          </w:tcPr>
          <w:p w14:paraId="711311C3" w14:textId="77777777" w:rsidR="00C47FC2" w:rsidRPr="004F21FD" w:rsidRDefault="00C47FC2" w:rsidP="009F2B38">
            <w:pPr>
              <w:spacing w:before="120"/>
              <w:jc w:val="both"/>
              <w:rPr>
                <w:rFonts w:ascii="Arial Narrow" w:hAnsi="Arial Narrow"/>
                <w:sz w:val="20"/>
              </w:rPr>
            </w:pPr>
            <w:r w:rsidRPr="004F21FD">
              <w:rPr>
                <w:rFonts w:ascii="Arial Narrow" w:hAnsi="Arial Narrow"/>
                <w:sz w:val="20"/>
              </w:rPr>
              <w:t>Pas de condition de nombre de trimestres cotisés</w:t>
            </w:r>
            <w:r>
              <w:rPr>
                <w:rFonts w:ascii="Arial Narrow" w:hAnsi="Arial Narrow"/>
                <w:sz w:val="20"/>
              </w:rPr>
              <w:t>.</w:t>
            </w:r>
          </w:p>
        </w:tc>
        <w:tc>
          <w:tcPr>
            <w:tcW w:w="4529" w:type="dxa"/>
            <w:shd w:val="clear" w:color="auto" w:fill="auto"/>
          </w:tcPr>
          <w:p w14:paraId="039D49A6" w14:textId="77777777" w:rsidR="00C47FC2" w:rsidRPr="004F21FD" w:rsidRDefault="00C47FC2" w:rsidP="009F2B38">
            <w:pPr>
              <w:spacing w:before="120"/>
              <w:jc w:val="both"/>
              <w:rPr>
                <w:rFonts w:ascii="Arial Narrow" w:hAnsi="Arial Narrow"/>
                <w:sz w:val="20"/>
              </w:rPr>
            </w:pPr>
            <w:r w:rsidRPr="004F21FD">
              <w:rPr>
                <w:rFonts w:ascii="Arial Narrow" w:hAnsi="Arial Narrow"/>
                <w:sz w:val="20"/>
              </w:rPr>
              <w:t>La majoration du « minimum contributif » est accordée seulement si l’assuré a 120 trimestres cotisés</w:t>
            </w:r>
            <w:r>
              <w:rPr>
                <w:rFonts w:ascii="Arial Narrow" w:hAnsi="Arial Narrow"/>
                <w:sz w:val="20"/>
              </w:rPr>
              <w:t>.</w:t>
            </w:r>
          </w:p>
        </w:tc>
      </w:tr>
      <w:tr w:rsidR="00C47FC2" w:rsidRPr="004F21FD" w14:paraId="66A431E7" w14:textId="77777777" w:rsidTr="00705E74">
        <w:tc>
          <w:tcPr>
            <w:tcW w:w="4423" w:type="dxa"/>
            <w:shd w:val="clear" w:color="auto" w:fill="auto"/>
          </w:tcPr>
          <w:p w14:paraId="77B605F2" w14:textId="77777777" w:rsidR="00C47FC2" w:rsidRPr="004F21FD" w:rsidRDefault="00C47FC2" w:rsidP="009F2B38">
            <w:pPr>
              <w:spacing w:before="120"/>
              <w:jc w:val="both"/>
              <w:rPr>
                <w:rFonts w:ascii="Arial Narrow" w:hAnsi="Arial Narrow"/>
                <w:sz w:val="20"/>
              </w:rPr>
            </w:pPr>
            <w:r>
              <w:rPr>
                <w:rFonts w:ascii="Arial Narrow" w:hAnsi="Arial Narrow"/>
                <w:sz w:val="20"/>
              </w:rPr>
              <w:t>La majoration s’applique même si le niveau global des pensions est supérieur au « minimum contributif ».</w:t>
            </w:r>
          </w:p>
        </w:tc>
        <w:tc>
          <w:tcPr>
            <w:tcW w:w="4529" w:type="dxa"/>
            <w:shd w:val="clear" w:color="auto" w:fill="auto"/>
          </w:tcPr>
          <w:p w14:paraId="1D0F14F8" w14:textId="77777777" w:rsidR="00C47FC2" w:rsidRPr="004F21FD" w:rsidRDefault="00C47FC2" w:rsidP="009F2B38">
            <w:pPr>
              <w:spacing w:before="120"/>
              <w:jc w:val="both"/>
              <w:rPr>
                <w:rFonts w:ascii="Arial Narrow" w:hAnsi="Arial Narrow"/>
                <w:sz w:val="20"/>
              </w:rPr>
            </w:pPr>
            <w:r>
              <w:rPr>
                <w:rFonts w:ascii="Arial Narrow" w:hAnsi="Arial Narrow"/>
                <w:sz w:val="20"/>
              </w:rPr>
              <w:t>La majoration ne s’applique pas si la pension est supérieure au « minimum contributif ».</w:t>
            </w:r>
          </w:p>
        </w:tc>
      </w:tr>
      <w:tr w:rsidR="00C47FC2" w:rsidRPr="004F21FD" w14:paraId="63EE3FA7" w14:textId="77777777" w:rsidTr="00705E74">
        <w:tc>
          <w:tcPr>
            <w:tcW w:w="4423" w:type="dxa"/>
            <w:shd w:val="clear" w:color="auto" w:fill="auto"/>
          </w:tcPr>
          <w:p w14:paraId="441B5385" w14:textId="77777777" w:rsidR="00C47FC2" w:rsidRPr="004F21FD" w:rsidRDefault="00C47FC2" w:rsidP="009F2B38">
            <w:pPr>
              <w:spacing w:before="120"/>
              <w:jc w:val="both"/>
              <w:rPr>
                <w:rFonts w:ascii="Arial Narrow" w:hAnsi="Arial Narrow"/>
                <w:sz w:val="20"/>
              </w:rPr>
            </w:pPr>
            <w:r>
              <w:rPr>
                <w:rFonts w:ascii="Arial Narrow" w:hAnsi="Arial Narrow"/>
                <w:sz w:val="20"/>
              </w:rPr>
              <w:t>La majoration s’applique à la seule fraction de pension 1979-1997.</w:t>
            </w:r>
          </w:p>
        </w:tc>
        <w:tc>
          <w:tcPr>
            <w:tcW w:w="4529" w:type="dxa"/>
            <w:shd w:val="clear" w:color="auto" w:fill="auto"/>
          </w:tcPr>
          <w:p w14:paraId="675FDEAB" w14:textId="77777777" w:rsidR="00C47FC2" w:rsidRPr="004F21FD" w:rsidRDefault="00C47FC2" w:rsidP="009F2B38">
            <w:pPr>
              <w:spacing w:before="120"/>
              <w:jc w:val="both"/>
              <w:rPr>
                <w:rFonts w:ascii="Arial Narrow" w:hAnsi="Arial Narrow"/>
                <w:sz w:val="20"/>
              </w:rPr>
            </w:pPr>
            <w:r>
              <w:rPr>
                <w:rFonts w:ascii="Arial Narrow" w:hAnsi="Arial Narrow"/>
                <w:sz w:val="20"/>
              </w:rPr>
              <w:t>La majoration s’applique à toutes les pensions qui n’atteignent pas le « minimum de pension ».</w:t>
            </w:r>
          </w:p>
        </w:tc>
      </w:tr>
    </w:tbl>
    <w:p w14:paraId="460CDB56" w14:textId="77777777" w:rsidR="00C47FC2" w:rsidRDefault="00C47FC2" w:rsidP="009F2B38">
      <w:pPr>
        <w:pStyle w:val="Paragraphe12"/>
      </w:pPr>
      <w:r>
        <w:t>Le décret 2006-1325 a donc levé toute ambigüité</w:t>
      </w:r>
      <w:r w:rsidRPr="00860DC6">
        <w:rPr>
          <w:spacing w:val="-2"/>
        </w:rPr>
        <w:t xml:space="preserve"> </w:t>
      </w:r>
      <w:r w:rsidRPr="0058301D">
        <w:rPr>
          <w:spacing w:val="-2"/>
        </w:rPr>
        <w:t xml:space="preserve">en énonçant que la majoration est rapportée au nombre de trimestres de référence </w:t>
      </w:r>
      <w:r>
        <w:t>pour obtenir le taux plein (et non à l’ensemble des trimestres tous régimes confondus).</w:t>
      </w:r>
    </w:p>
    <w:p w14:paraId="76473AC5" w14:textId="77777777" w:rsidR="00C47FC2" w:rsidRDefault="00C47FC2" w:rsidP="009F2B38">
      <w:pPr>
        <w:pStyle w:val="Paragraphe12"/>
      </w:pPr>
      <w:r>
        <w:t xml:space="preserve">Dès lors, la lettre ministérielle, qui, dans la hiérarchie des textes, est inférieure à un décret, est devenue obsolète. </w:t>
      </w:r>
      <w:r w:rsidR="00705E74">
        <w:rPr>
          <w:spacing w:val="-2"/>
        </w:rPr>
        <w:t>Elle est antérieure au décret, elle ne peut donc pas avoir pour objet de l</w:t>
      </w:r>
      <w:r w:rsidR="001265DF">
        <w:rPr>
          <w:spacing w:val="-2"/>
        </w:rPr>
        <w:t>e</w:t>
      </w:r>
      <w:r w:rsidR="00705E74">
        <w:rPr>
          <w:spacing w:val="-2"/>
        </w:rPr>
        <w:t xml:space="preserve"> préciser</w:t>
      </w:r>
      <w:r w:rsidRPr="0058301D">
        <w:rPr>
          <w:spacing w:val="-2"/>
        </w:rPr>
        <w:t>.</w:t>
      </w:r>
    </w:p>
    <w:p w14:paraId="25A6912D" w14:textId="77777777" w:rsidR="00C47FC2" w:rsidRDefault="00C47FC2" w:rsidP="009F2B38">
      <w:pPr>
        <w:pStyle w:val="Titre3"/>
      </w:pPr>
      <w:bookmarkStart w:id="26" w:name="_Toc511477549"/>
      <w:r>
        <w:t>Le décret 2010-103 utilise les mêmes termes que le décret 2006-1325</w:t>
      </w:r>
      <w:bookmarkEnd w:id="26"/>
    </w:p>
    <w:p w14:paraId="021C3DB3" w14:textId="77777777" w:rsidR="00C47FC2" w:rsidRDefault="00C47FC2" w:rsidP="009F2B38">
      <w:pPr>
        <w:pStyle w:val="Corpsdetexte"/>
      </w:pPr>
      <w:r>
        <w:t>Il est remarquable que l’article V bis, issu du décret 2010-103, emploie rigoureusement les mêmes termes que l’article V du décret 2006-1325 :</w:t>
      </w:r>
      <w:r w:rsidRPr="00073DE3">
        <w:rPr>
          <w:i/>
        </w:rPr>
        <w:t xml:space="preserve"> </w:t>
      </w:r>
      <w:r>
        <w:rPr>
          <w:i/>
        </w:rPr>
        <w:t>« </w:t>
      </w:r>
      <w:r w:rsidRPr="00CD7A0D">
        <w:rPr>
          <w:i/>
        </w:rPr>
        <w:t>rapporté au nombre de trimestres nécessaires pour atteindre la durée maximale fixée à l’article R</w:t>
      </w:r>
      <w:r>
        <w:rPr>
          <w:i/>
        </w:rPr>
        <w:t> </w:t>
      </w:r>
      <w:r w:rsidRPr="00CD7A0D">
        <w:rPr>
          <w:i/>
        </w:rPr>
        <w:t>351-6 du code de la sécurité sociale</w:t>
      </w:r>
      <w:r>
        <w:rPr>
          <w:i/>
        </w:rPr>
        <w:t xml:space="preserve"> » </w:t>
      </w:r>
      <w:r w:rsidRPr="007C27A6">
        <w:rPr>
          <w:i/>
        </w:rPr>
        <w:t xml:space="preserve">(Cf. pièce </w:t>
      </w:r>
      <w:r w:rsidR="001265DF">
        <w:rPr>
          <w:i/>
        </w:rPr>
        <w:t>43</w:t>
      </w:r>
      <w:r>
        <w:rPr>
          <w:i/>
        </w:rPr>
        <w:t>, article V bis</w:t>
      </w:r>
      <w:r w:rsidRPr="007C27A6">
        <w:rPr>
          <w:i/>
        </w:rPr>
        <w:t>).</w:t>
      </w:r>
    </w:p>
    <w:p w14:paraId="1077A10C" w14:textId="77777777" w:rsidR="00C47FC2" w:rsidRDefault="00C47FC2" w:rsidP="009F2B38">
      <w:pPr>
        <w:pStyle w:val="Corpsdetexte"/>
      </w:pPr>
      <w:r>
        <w:t>Or, la Cavimac considère bien, dans le cas des périodes antérieures à 1979, qu’il s’agit du niveau du minimum de pension et non des dispositions de l’article L 351-10 CSS puisqu’elle divise par le nombre de trimestres de référence pour obtenir le taux plein (16</w:t>
      </w:r>
      <w:r w:rsidR="001265DF">
        <w:t>3</w:t>
      </w:r>
      <w:r>
        <w:t>) et non par le nombre total de trimestres tous régimes (1</w:t>
      </w:r>
      <w:r w:rsidR="001D2AD4">
        <w:t>65, mais qui deviendra 177 après prise en compte des périodes de postulat et de noviciat</w:t>
      </w:r>
      <w:r>
        <w:t>).</w:t>
      </w:r>
    </w:p>
    <w:p w14:paraId="5869F27F" w14:textId="77777777" w:rsidR="00C47FC2" w:rsidRDefault="00C47FC2" w:rsidP="009F2B38">
      <w:pPr>
        <w:pStyle w:val="Corpsdetexte"/>
      </w:pPr>
      <w:r>
        <w:t>La Cavimac fait donc une application différente de textes identiques.</w:t>
      </w:r>
    </w:p>
    <w:p w14:paraId="7388D843" w14:textId="77777777" w:rsidR="00C47FC2" w:rsidRDefault="00257321" w:rsidP="009F2B38">
      <w:pPr>
        <w:pStyle w:val="Paragraphe12"/>
      </w:pPr>
      <w:r>
        <w:t xml:space="preserve">Il est remarquable, que le directeur de la Cavimac, dans son message du </w:t>
      </w:r>
      <w:r w:rsidR="001D2AD4">
        <w:t>30 mars 2016 (pièce 5b) mentionne « </w:t>
      </w:r>
      <w:proofErr w:type="spellStart"/>
      <w:r w:rsidR="001D2AD4">
        <w:t>mico</w:t>
      </w:r>
      <w:proofErr w:type="spellEnd"/>
      <w:r w:rsidR="001D2AD4">
        <w:t> » aussi bien pour la période antérieure au 1</w:t>
      </w:r>
      <w:r w:rsidR="001D2AD4" w:rsidRPr="001D2AD4">
        <w:rPr>
          <w:vertAlign w:val="superscript"/>
        </w:rPr>
        <w:t>er</w:t>
      </w:r>
      <w:r w:rsidR="001D2AD4">
        <w:t xml:space="preserve"> janvier 1979 que pour la période 1979-1997. Dans le premier cas, il prend en compte le niveau du MICO, dans l’autre, il applique les dispositions de l’article L 351-10.</w:t>
      </w:r>
    </w:p>
    <w:p w14:paraId="63DD7248" w14:textId="77777777" w:rsidR="001D2AD4" w:rsidRDefault="001D2AD4" w:rsidP="009F2B38">
      <w:pPr>
        <w:spacing w:before="0"/>
        <w:rPr>
          <w:rFonts w:ascii="Arial Narrow" w:eastAsia="Calibri" w:hAnsi="Arial Narrow"/>
          <w:b/>
          <w:iCs/>
          <w:sz w:val="22"/>
          <w:szCs w:val="22"/>
        </w:rPr>
      </w:pPr>
      <w:bookmarkStart w:id="27" w:name="_Toc511477550"/>
      <w:r>
        <w:br w:type="page"/>
      </w:r>
    </w:p>
    <w:p w14:paraId="41761C62" w14:textId="77777777" w:rsidR="00C47FC2" w:rsidRDefault="00C47FC2" w:rsidP="009F2B38">
      <w:pPr>
        <w:pStyle w:val="Titre3"/>
      </w:pPr>
      <w:r>
        <w:lastRenderedPageBreak/>
        <w:t>Le TASS de BAYONNE a condamné la Cavimac à revoir son mode de calcul</w:t>
      </w:r>
      <w:bookmarkEnd w:id="27"/>
    </w:p>
    <w:p w14:paraId="6B2BA87A" w14:textId="77777777" w:rsidR="00C47FC2" w:rsidRPr="001D2AD4" w:rsidRDefault="00C47FC2" w:rsidP="009F2B38">
      <w:pPr>
        <w:pStyle w:val="Paragraphe12"/>
      </w:pPr>
      <w:r w:rsidRPr="001D2AD4">
        <w:t>Dans une décision du 4 septembre 2015, le Tribunal de Sécurité sociale de Bayonne a invité la Cavimac à recalculer la pension d’un assuré de la manière exposée dans les présentes conclusions.</w:t>
      </w:r>
    </w:p>
    <w:p w14:paraId="04EB381A" w14:textId="77777777" w:rsidR="00C47FC2" w:rsidRPr="001D2AD4" w:rsidRDefault="00C47FC2" w:rsidP="009F2B38">
      <w:pPr>
        <w:pStyle w:val="Paragraphe12"/>
      </w:pPr>
      <w:r w:rsidRPr="001D2AD4">
        <w:t>Il a estimé infondée, l’interprétation donnée par la Cavimac au décret 2006-1325 et l’a invité à recalculer la pension selon les calculs de l’intéressé (qui sont ceux que nous avons présentés dans les présentes conclusions).</w:t>
      </w:r>
    </w:p>
    <w:p w14:paraId="4ED3E096" w14:textId="77777777" w:rsidR="00C47FC2" w:rsidRDefault="00C47FC2" w:rsidP="009F2B38">
      <w:pPr>
        <w:pStyle w:val="Citation1"/>
      </w:pPr>
      <w:r>
        <w:t>« Après examen des modes de calcul respectifs fournies par les parties… le tribunal estime que l’interprétation donnée par la Cavimac aux dispositions prévues par le décret n° 2006-1325 du 31 octobre 2006 est infondée et retient les calculs de Mr ETCHEGARAY en invitant la CAVIMAC à recalculer la pension versée à M. Laurent ETCHEGARAY pour les périodes allant de 1979 à 1998 comme calculé par celui-ci… »</w:t>
      </w:r>
    </w:p>
    <w:p w14:paraId="315BBB9A" w14:textId="77777777" w:rsidR="00C47FC2" w:rsidRDefault="00C47FC2" w:rsidP="006F7EA6">
      <w:pPr>
        <w:pStyle w:val="Rfrence"/>
      </w:pPr>
      <w:r>
        <w:t xml:space="preserve">Pièce </w:t>
      </w:r>
      <w:r w:rsidR="001D2AD4">
        <w:t>35</w:t>
      </w:r>
      <w:r w:rsidR="00F84E8B">
        <w:t xml:space="preserve"> précitée</w:t>
      </w:r>
      <w:r>
        <w:t>. TASS de Bayonne. Jugement du 4 septembre 2015.</w:t>
      </w:r>
    </w:p>
    <w:p w14:paraId="531CB4F9" w14:textId="3F8997D1" w:rsidR="00D85E6D" w:rsidRDefault="00C47FC2" w:rsidP="009F2B38">
      <w:pPr>
        <w:pStyle w:val="Paragraphe12"/>
      </w:pPr>
      <w:r>
        <w:t>La Cavimac n’a pas fait appel de ce jugement.</w:t>
      </w:r>
    </w:p>
    <w:p w14:paraId="1C920363" w14:textId="55D854EA" w:rsidR="0030673C" w:rsidRDefault="0030673C" w:rsidP="0025665D">
      <w:pPr>
        <w:pStyle w:val="Paragraphe12"/>
        <w:pBdr>
          <w:left w:val="single" w:sz="4" w:space="1" w:color="auto"/>
        </w:pBdr>
      </w:pPr>
      <w:r>
        <w:t>D’autres jugements, passés en force de chose jugée, ont condamné la Cavimac à revoir le calcul de la pension.</w:t>
      </w:r>
    </w:p>
    <w:p w14:paraId="6806AF92" w14:textId="77777777" w:rsidR="00D85E6D" w:rsidRDefault="00D85E6D" w:rsidP="0025665D">
      <w:pPr>
        <w:pStyle w:val="Rfrence"/>
        <w:pBdr>
          <w:left w:val="single" w:sz="4" w:space="1" w:color="auto"/>
        </w:pBdr>
      </w:pPr>
      <w:r>
        <w:t>Pièce 63. TASS d’Ille et Vilaine. Jugement du 31 août 2018.</w:t>
      </w:r>
    </w:p>
    <w:p w14:paraId="2738C602" w14:textId="4A22383D" w:rsidR="00C47FC2" w:rsidRDefault="00D85E6D" w:rsidP="0025665D">
      <w:pPr>
        <w:pStyle w:val="Rfrence"/>
        <w:pBdr>
          <w:left w:val="single" w:sz="4" w:space="1" w:color="auto"/>
        </w:pBdr>
      </w:pPr>
      <w:r>
        <w:t xml:space="preserve">Pièce 64. TASS de Montbéliard. Jugement du 28 novembre 2018. </w:t>
      </w:r>
    </w:p>
    <w:p w14:paraId="48110402" w14:textId="77777777" w:rsidR="00C47FC2" w:rsidRDefault="00C47FC2" w:rsidP="009F2B38">
      <w:pPr>
        <w:pStyle w:val="Titre2"/>
      </w:pPr>
      <w:bookmarkStart w:id="28" w:name="_Toc511477551"/>
      <w:bookmarkStart w:id="29" w:name="_Toc83391255"/>
      <w:r>
        <w:t>Le montant de ma pension</w:t>
      </w:r>
      <w:bookmarkEnd w:id="28"/>
      <w:bookmarkEnd w:id="29"/>
    </w:p>
    <w:p w14:paraId="4FD38CEE" w14:textId="77777777" w:rsidR="00C47FC2" w:rsidRPr="00016C29" w:rsidRDefault="00C47FC2" w:rsidP="009F2B38">
      <w:pPr>
        <w:pStyle w:val="Paragraphe12"/>
      </w:pPr>
      <w:r>
        <w:t>Les éléments que j’ai apportés montrent donc, que, pour la période 1979-1997, sur laquelle porte le litige, ma pension doit être calculée en divisant par 16</w:t>
      </w:r>
      <w:r w:rsidR="001D2AD4">
        <w:t>3</w:t>
      </w:r>
      <w:r>
        <w:t xml:space="preserve"> et non par 1</w:t>
      </w:r>
      <w:r w:rsidR="001D2AD4">
        <w:t>6</w:t>
      </w:r>
      <w:r>
        <w:t xml:space="preserve">5 </w:t>
      </w:r>
      <w:r w:rsidR="000F2826">
        <w:t xml:space="preserve">comme le fait la Cavimac </w:t>
      </w:r>
      <w:r w:rsidR="001D2AD4">
        <w:t>(177 après validation de</w:t>
      </w:r>
      <w:r w:rsidR="000F2826">
        <w:t>s</w:t>
      </w:r>
      <w:r w:rsidR="001D2AD4">
        <w:t xml:space="preserve"> 12 trimestres</w:t>
      </w:r>
      <w:r w:rsidR="000F2826">
        <w:t xml:space="preserve"> de postulat et noviciat</w:t>
      </w:r>
      <w:r w:rsidR="001D2AD4">
        <w:t>)</w:t>
      </w:r>
      <w:r>
        <w:t>.</w:t>
      </w:r>
    </w:p>
    <w:p w14:paraId="01D255E4" w14:textId="77777777" w:rsidR="00C47FC2" w:rsidRDefault="00A82783" w:rsidP="009F2B38">
      <w:pPr>
        <w:pStyle w:val="listepuces20"/>
      </w:pPr>
      <w:r>
        <w:t>C</w:t>
      </w:r>
      <w:r w:rsidR="00C47FC2">
        <w:t xml:space="preserve">alcul de ma </w:t>
      </w:r>
      <w:r w:rsidR="00355AC1">
        <w:t xml:space="preserve">fraction de </w:t>
      </w:r>
      <w:r w:rsidR="00C47FC2">
        <w:t>pension</w:t>
      </w:r>
      <w:r w:rsidR="00A02E40">
        <w:t xml:space="preserve"> mensuelle</w:t>
      </w:r>
      <w:r w:rsidR="00C47FC2">
        <w:t xml:space="preserve"> </w:t>
      </w:r>
      <w:r w:rsidR="00E920CB">
        <w:t xml:space="preserve">afférente à la période </w:t>
      </w:r>
      <w:r w:rsidR="00421420">
        <w:t>1979-1997</w:t>
      </w:r>
      <w:r>
        <w:t> :</w:t>
      </w:r>
    </w:p>
    <w:p w14:paraId="7D35AD9E" w14:textId="77777777" w:rsidR="003D6843" w:rsidRDefault="003D6843" w:rsidP="009F2B38">
      <w:pPr>
        <w:pStyle w:val="Paragrretrait1"/>
        <w:tabs>
          <w:tab w:val="left" w:pos="2268"/>
        </w:tabs>
      </w:pPr>
      <w:r>
        <w:t xml:space="preserve">Année de naissance : </w:t>
      </w:r>
      <w:r>
        <w:tab/>
        <w:t>1951</w:t>
      </w:r>
      <w:r>
        <w:tab/>
        <w:t>Trimestres de référence : 163</w:t>
      </w:r>
    </w:p>
    <w:p w14:paraId="0F528389" w14:textId="77777777" w:rsidR="003D6843" w:rsidRDefault="003D6843" w:rsidP="009F2B38">
      <w:pPr>
        <w:pStyle w:val="Paragrretrait1"/>
        <w:tabs>
          <w:tab w:val="left" w:pos="2410"/>
        </w:tabs>
      </w:pPr>
      <w:r>
        <w:t xml:space="preserve">Trimestres avant 1979 : </w:t>
      </w:r>
      <w:r w:rsidR="004204C3">
        <w:t xml:space="preserve"> </w:t>
      </w:r>
      <w:r>
        <w:t>13</w:t>
      </w:r>
      <w:r>
        <w:tab/>
      </w:r>
      <w:r w:rsidR="004204C3">
        <w:t>Trimestres 1979-1997 :</w:t>
      </w:r>
      <w:r w:rsidR="004204C3">
        <w:tab/>
        <w:t>76</w:t>
      </w:r>
      <w:r w:rsidR="004204C3">
        <w:tab/>
        <w:t>Trimestres après 1997 :</w:t>
      </w:r>
      <w:r w:rsidR="004204C3">
        <w:tab/>
      </w:r>
      <w:r w:rsidR="00F01D2E">
        <w:t>40</w:t>
      </w:r>
    </w:p>
    <w:p w14:paraId="6B8CCFFF" w14:textId="77777777" w:rsidR="004204C3" w:rsidRDefault="004204C3" w:rsidP="009F2B38">
      <w:pPr>
        <w:pStyle w:val="Paragrretrait1"/>
        <w:tabs>
          <w:tab w:val="left" w:pos="2268"/>
        </w:tabs>
        <w:spacing w:after="120"/>
      </w:pPr>
      <w:r>
        <w:t>Trimestres de surcote :</w:t>
      </w:r>
      <w:r>
        <w:tab/>
        <w:t>2</w:t>
      </w:r>
      <w:r>
        <w:tab/>
        <w:t>Taux de surcote :</w:t>
      </w:r>
      <w:r>
        <w:tab/>
      </w:r>
      <w:r>
        <w:tab/>
        <w:t>2,50 %</w:t>
      </w:r>
      <w:r>
        <w:tab/>
        <w:t>Total trimestres tous régimes : 165</w:t>
      </w:r>
    </w:p>
    <w:tbl>
      <w:tblPr>
        <w:tblStyle w:val="Grilledutableau"/>
        <w:tblW w:w="0" w:type="auto"/>
        <w:tblLook w:val="04A0" w:firstRow="1" w:lastRow="0" w:firstColumn="1" w:lastColumn="0" w:noHBand="0" w:noVBand="1"/>
      </w:tblPr>
      <w:tblGrid>
        <w:gridCol w:w="4606"/>
        <w:gridCol w:w="4606"/>
      </w:tblGrid>
      <w:tr w:rsidR="004204C3" w14:paraId="4F2A28BF" w14:textId="77777777" w:rsidTr="004204C3">
        <w:tc>
          <w:tcPr>
            <w:tcW w:w="4606" w:type="dxa"/>
          </w:tcPr>
          <w:p w14:paraId="14145071" w14:textId="77777777" w:rsidR="004204C3" w:rsidRPr="00421420" w:rsidRDefault="004204C3" w:rsidP="009F2B38">
            <w:pPr>
              <w:pStyle w:val="Paragraphe12"/>
              <w:spacing w:before="80" w:after="80"/>
              <w:jc w:val="center"/>
              <w:rPr>
                <w:sz w:val="20"/>
                <w:szCs w:val="20"/>
              </w:rPr>
            </w:pPr>
            <w:r w:rsidRPr="00421420">
              <w:rPr>
                <w:sz w:val="20"/>
                <w:szCs w:val="20"/>
              </w:rPr>
              <w:t>Calcul Cavimac (Cf. pièce 5b)</w:t>
            </w:r>
          </w:p>
        </w:tc>
        <w:tc>
          <w:tcPr>
            <w:tcW w:w="4606" w:type="dxa"/>
          </w:tcPr>
          <w:p w14:paraId="6A5EBA9E" w14:textId="77777777" w:rsidR="004204C3" w:rsidRPr="004204C3" w:rsidRDefault="004204C3" w:rsidP="009F2B38">
            <w:pPr>
              <w:pStyle w:val="Paragraphe12"/>
              <w:spacing w:before="80" w:after="80"/>
              <w:jc w:val="center"/>
              <w:rPr>
                <w:sz w:val="20"/>
                <w:szCs w:val="20"/>
              </w:rPr>
            </w:pPr>
            <w:r>
              <w:rPr>
                <w:sz w:val="20"/>
                <w:szCs w:val="20"/>
              </w:rPr>
              <w:t>Calcul selon la législation</w:t>
            </w:r>
          </w:p>
        </w:tc>
      </w:tr>
      <w:tr w:rsidR="004204C3" w14:paraId="3CFB84C6" w14:textId="77777777" w:rsidTr="004204C3">
        <w:tc>
          <w:tcPr>
            <w:tcW w:w="4606" w:type="dxa"/>
          </w:tcPr>
          <w:p w14:paraId="1F6A1010" w14:textId="77777777" w:rsidR="005416C5" w:rsidRPr="005416C5" w:rsidRDefault="005416C5" w:rsidP="009F2B38">
            <w:pPr>
              <w:pStyle w:val="Paragraphe12"/>
              <w:spacing w:before="80" w:after="80"/>
              <w:rPr>
                <w:sz w:val="20"/>
                <w:szCs w:val="20"/>
              </w:rPr>
            </w:pPr>
            <w:r w:rsidRPr="005416C5">
              <w:rPr>
                <w:sz w:val="20"/>
                <w:szCs w:val="20"/>
              </w:rPr>
              <w:t xml:space="preserve">Application des </w:t>
            </w:r>
            <w:r>
              <w:rPr>
                <w:sz w:val="20"/>
                <w:szCs w:val="20"/>
              </w:rPr>
              <w:t>dispositions de l’article L 351-10</w:t>
            </w:r>
          </w:p>
          <w:p w14:paraId="42F70623" w14:textId="77777777" w:rsidR="004204C3" w:rsidRPr="00D4108E" w:rsidRDefault="004204C3" w:rsidP="009F2B38">
            <w:pPr>
              <w:pStyle w:val="Paragraphe12"/>
              <w:spacing w:before="80" w:after="80"/>
              <w:rPr>
                <w:sz w:val="20"/>
                <w:szCs w:val="20"/>
                <w:lang w:val="it-IT"/>
              </w:rPr>
            </w:pPr>
            <w:r w:rsidRPr="00D4108E">
              <w:rPr>
                <w:sz w:val="20"/>
                <w:szCs w:val="20"/>
                <w:lang w:val="it-IT"/>
              </w:rPr>
              <w:t>MICO</w:t>
            </w:r>
            <w:r w:rsidRPr="00D4108E">
              <w:rPr>
                <w:sz w:val="20"/>
                <w:szCs w:val="20"/>
                <w:lang w:val="it-IT"/>
              </w:rPr>
              <w:tab/>
              <w:t>629,62 x 76 / 165</w:t>
            </w:r>
            <w:r w:rsidRPr="00D4108E">
              <w:rPr>
                <w:sz w:val="20"/>
                <w:szCs w:val="20"/>
                <w:lang w:val="it-IT"/>
              </w:rPr>
              <w:tab/>
            </w:r>
            <w:r w:rsidRPr="00D4108E">
              <w:rPr>
                <w:sz w:val="20"/>
                <w:szCs w:val="20"/>
                <w:lang w:val="it-IT"/>
              </w:rPr>
              <w:tab/>
              <w:t xml:space="preserve">= </w:t>
            </w:r>
            <w:r w:rsidR="00F01D2E" w:rsidRPr="00D4108E">
              <w:rPr>
                <w:sz w:val="20"/>
                <w:szCs w:val="20"/>
                <w:lang w:val="it-IT"/>
              </w:rPr>
              <w:t>290,00 €</w:t>
            </w:r>
          </w:p>
          <w:p w14:paraId="19B33BC4" w14:textId="77777777" w:rsidR="004204C3" w:rsidRPr="00F01D2E" w:rsidRDefault="004204C3" w:rsidP="009F2B38">
            <w:pPr>
              <w:pStyle w:val="Paragraphe12"/>
              <w:spacing w:before="80" w:after="80"/>
              <w:rPr>
                <w:sz w:val="20"/>
                <w:szCs w:val="20"/>
                <w:lang w:val="it-IT"/>
              </w:rPr>
            </w:pPr>
            <w:r w:rsidRPr="00F01D2E">
              <w:rPr>
                <w:sz w:val="20"/>
                <w:szCs w:val="20"/>
                <w:lang w:val="it-IT"/>
              </w:rPr>
              <w:t>MAJ.</w:t>
            </w:r>
            <w:r w:rsidRPr="00F01D2E">
              <w:rPr>
                <w:sz w:val="20"/>
                <w:szCs w:val="20"/>
                <w:lang w:val="it-IT"/>
              </w:rPr>
              <w:tab/>
              <w:t>58,38 x 76 /165 x149 / 163</w:t>
            </w:r>
            <w:r w:rsidRPr="00F01D2E">
              <w:rPr>
                <w:sz w:val="20"/>
                <w:szCs w:val="20"/>
                <w:lang w:val="it-IT"/>
              </w:rPr>
              <w:tab/>
              <w:t>=</w:t>
            </w:r>
            <w:r w:rsidR="00F01D2E">
              <w:rPr>
                <w:sz w:val="20"/>
                <w:szCs w:val="20"/>
                <w:lang w:val="it-IT"/>
              </w:rPr>
              <w:t xml:space="preserve"> 24,58 €</w:t>
            </w:r>
          </w:p>
          <w:p w14:paraId="0C0899E2" w14:textId="77777777" w:rsidR="004204C3" w:rsidRDefault="004204C3" w:rsidP="009F2B38">
            <w:pPr>
              <w:pStyle w:val="Paragraphe12"/>
              <w:spacing w:before="80" w:after="80"/>
              <w:rPr>
                <w:sz w:val="20"/>
                <w:szCs w:val="20"/>
              </w:rPr>
            </w:pPr>
            <w:r>
              <w:rPr>
                <w:sz w:val="20"/>
                <w:szCs w:val="20"/>
              </w:rPr>
              <w:t>Surcote</w:t>
            </w:r>
            <w:r>
              <w:rPr>
                <w:sz w:val="20"/>
                <w:szCs w:val="20"/>
              </w:rPr>
              <w:tab/>
            </w:r>
            <w:r w:rsidR="00F01D2E">
              <w:rPr>
                <w:sz w:val="20"/>
                <w:szCs w:val="20"/>
              </w:rPr>
              <w:t>(290 + 24,58) x 2,5 %</w:t>
            </w:r>
            <w:r w:rsidR="00F01D2E">
              <w:rPr>
                <w:sz w:val="20"/>
                <w:szCs w:val="20"/>
              </w:rPr>
              <w:tab/>
              <w:t>= 7,86 €</w:t>
            </w:r>
          </w:p>
          <w:p w14:paraId="4104381C" w14:textId="77777777" w:rsidR="004204C3" w:rsidRPr="004204C3" w:rsidRDefault="00F01D2E" w:rsidP="009F2B38">
            <w:pPr>
              <w:pStyle w:val="Paragraphe12"/>
              <w:spacing w:before="80" w:after="80"/>
              <w:rPr>
                <w:sz w:val="20"/>
                <w:szCs w:val="20"/>
              </w:rPr>
            </w:pPr>
            <w:r>
              <w:rPr>
                <w:sz w:val="20"/>
                <w:szCs w:val="20"/>
              </w:rPr>
              <w:t>Pension</w:t>
            </w:r>
            <w:r>
              <w:rPr>
                <w:sz w:val="20"/>
                <w:szCs w:val="20"/>
              </w:rPr>
              <w:tab/>
              <w:t xml:space="preserve">390,00 + 24,58 + 7,86 </w:t>
            </w:r>
            <w:r>
              <w:rPr>
                <w:sz w:val="20"/>
                <w:szCs w:val="20"/>
              </w:rPr>
              <w:tab/>
              <w:t xml:space="preserve">= </w:t>
            </w:r>
            <w:r w:rsidRPr="00F01D2E">
              <w:rPr>
                <w:b/>
                <w:sz w:val="20"/>
                <w:szCs w:val="20"/>
              </w:rPr>
              <w:t>322,44</w:t>
            </w:r>
          </w:p>
        </w:tc>
        <w:tc>
          <w:tcPr>
            <w:tcW w:w="4606" w:type="dxa"/>
          </w:tcPr>
          <w:p w14:paraId="59E96F2D" w14:textId="77777777" w:rsidR="004204C3" w:rsidRDefault="000A4411" w:rsidP="009F2B38">
            <w:pPr>
              <w:pStyle w:val="Paragraphe12"/>
              <w:spacing w:before="80" w:after="80"/>
              <w:rPr>
                <w:sz w:val="20"/>
                <w:szCs w:val="20"/>
              </w:rPr>
            </w:pPr>
            <w:r>
              <w:rPr>
                <w:sz w:val="20"/>
                <w:szCs w:val="20"/>
              </w:rPr>
              <w:t>Application du niveau du minimum de pension majoré</w:t>
            </w:r>
            <w:r w:rsidR="00F01D2E">
              <w:rPr>
                <w:sz w:val="20"/>
                <w:szCs w:val="20"/>
              </w:rPr>
              <w:t> : 688</w:t>
            </w:r>
          </w:p>
          <w:p w14:paraId="6B5AE57D" w14:textId="77777777" w:rsidR="000A4411" w:rsidRDefault="000A4411" w:rsidP="009F2B38">
            <w:pPr>
              <w:pStyle w:val="Paragraphe12"/>
              <w:spacing w:before="80" w:after="80"/>
              <w:rPr>
                <w:sz w:val="20"/>
                <w:szCs w:val="20"/>
              </w:rPr>
            </w:pPr>
          </w:p>
          <w:p w14:paraId="1922EBF1" w14:textId="77777777" w:rsidR="00F01D2E" w:rsidRDefault="00421420" w:rsidP="009F2B38">
            <w:pPr>
              <w:pStyle w:val="Paragraphe12"/>
              <w:spacing w:before="80" w:after="80"/>
              <w:rPr>
                <w:sz w:val="20"/>
                <w:szCs w:val="20"/>
              </w:rPr>
            </w:pPr>
            <w:r>
              <w:rPr>
                <w:sz w:val="20"/>
                <w:szCs w:val="20"/>
              </w:rPr>
              <w:tab/>
            </w:r>
            <w:r w:rsidR="00F01D2E">
              <w:rPr>
                <w:sz w:val="20"/>
                <w:szCs w:val="20"/>
              </w:rPr>
              <w:t>688 x 76 / 163</w:t>
            </w:r>
            <w:r w:rsidR="00F01D2E">
              <w:rPr>
                <w:sz w:val="20"/>
                <w:szCs w:val="20"/>
              </w:rPr>
              <w:tab/>
            </w:r>
            <w:r>
              <w:rPr>
                <w:sz w:val="20"/>
                <w:szCs w:val="20"/>
              </w:rPr>
              <w:t>= 320,78 €</w:t>
            </w:r>
          </w:p>
          <w:p w14:paraId="6BC23605" w14:textId="77777777" w:rsidR="00421420" w:rsidRDefault="00421420" w:rsidP="009F2B38">
            <w:pPr>
              <w:pStyle w:val="Paragraphe12"/>
              <w:spacing w:before="80" w:after="80"/>
              <w:rPr>
                <w:sz w:val="20"/>
                <w:szCs w:val="20"/>
              </w:rPr>
            </w:pPr>
            <w:r>
              <w:rPr>
                <w:sz w:val="20"/>
                <w:szCs w:val="20"/>
              </w:rPr>
              <w:t>Surcote</w:t>
            </w:r>
            <w:r>
              <w:rPr>
                <w:sz w:val="20"/>
                <w:szCs w:val="20"/>
              </w:rPr>
              <w:tab/>
              <w:t>320,78 x 2,50 %</w:t>
            </w:r>
            <w:r>
              <w:rPr>
                <w:sz w:val="20"/>
                <w:szCs w:val="20"/>
              </w:rPr>
              <w:tab/>
              <w:t>= 8,02 €</w:t>
            </w:r>
          </w:p>
          <w:p w14:paraId="149F43DF" w14:textId="77777777" w:rsidR="00421420" w:rsidRPr="004204C3" w:rsidRDefault="00421420" w:rsidP="009F2B38">
            <w:pPr>
              <w:pStyle w:val="Paragraphe12"/>
              <w:spacing w:before="80" w:after="80"/>
              <w:rPr>
                <w:sz w:val="20"/>
                <w:szCs w:val="20"/>
              </w:rPr>
            </w:pPr>
            <w:r>
              <w:rPr>
                <w:sz w:val="20"/>
                <w:szCs w:val="20"/>
              </w:rPr>
              <w:t>Pension</w:t>
            </w:r>
            <w:r>
              <w:rPr>
                <w:sz w:val="20"/>
                <w:szCs w:val="20"/>
              </w:rPr>
              <w:tab/>
              <w:t>320,78 + 8,02</w:t>
            </w:r>
            <w:r>
              <w:rPr>
                <w:sz w:val="20"/>
                <w:szCs w:val="20"/>
              </w:rPr>
              <w:tab/>
              <w:t xml:space="preserve">= </w:t>
            </w:r>
            <w:r w:rsidRPr="00421420">
              <w:rPr>
                <w:b/>
                <w:sz w:val="20"/>
                <w:szCs w:val="20"/>
              </w:rPr>
              <w:t>328,80</w:t>
            </w:r>
            <w:r>
              <w:rPr>
                <w:sz w:val="20"/>
                <w:szCs w:val="20"/>
              </w:rPr>
              <w:t xml:space="preserve"> €</w:t>
            </w:r>
          </w:p>
        </w:tc>
      </w:tr>
    </w:tbl>
    <w:p w14:paraId="182173B4" w14:textId="64CC5D20" w:rsidR="004204C3" w:rsidRDefault="00A82783" w:rsidP="009F2B38">
      <w:pPr>
        <w:pStyle w:val="listepuces20"/>
      </w:pPr>
      <w:r>
        <w:t>Calcul a</w:t>
      </w:r>
      <w:r w:rsidR="00421420">
        <w:t>près validation des</w:t>
      </w:r>
      <w:r w:rsidR="004254FD">
        <w:t xml:space="preserve"> </w:t>
      </w:r>
      <w:r w:rsidR="00421420">
        <w:t xml:space="preserve">12 trimestres </w:t>
      </w:r>
      <w:r>
        <w:t>dont</w:t>
      </w:r>
      <w:r w:rsidR="00421420">
        <w:t xml:space="preserve"> je demande</w:t>
      </w:r>
      <w:r>
        <w:t xml:space="preserve"> la prise en compte</w:t>
      </w:r>
      <w:r w:rsidR="00421420">
        <w:t> :</w:t>
      </w:r>
    </w:p>
    <w:p w14:paraId="566076B6" w14:textId="77777777" w:rsidR="00421420" w:rsidRDefault="00421420" w:rsidP="009F2B38">
      <w:pPr>
        <w:pStyle w:val="Paragrretrait1"/>
        <w:tabs>
          <w:tab w:val="left" w:pos="2410"/>
        </w:tabs>
      </w:pPr>
      <w:r>
        <w:t>Trimestres avant 1979 :  25</w:t>
      </w:r>
      <w:r>
        <w:tab/>
        <w:t>Trimestres 1979-1997 :</w:t>
      </w:r>
      <w:r>
        <w:tab/>
        <w:t>76</w:t>
      </w:r>
      <w:r>
        <w:tab/>
        <w:t>Trimestres après 1997 :</w:t>
      </w:r>
      <w:r>
        <w:tab/>
        <w:t>40</w:t>
      </w:r>
    </w:p>
    <w:p w14:paraId="4DB71868" w14:textId="77777777" w:rsidR="00421420" w:rsidRDefault="00421420" w:rsidP="009F2B38">
      <w:pPr>
        <w:pStyle w:val="Paragrretrait1"/>
        <w:tabs>
          <w:tab w:val="left" w:pos="2268"/>
        </w:tabs>
        <w:spacing w:after="120"/>
      </w:pPr>
      <w:r>
        <w:t>Trimestres de surcote :</w:t>
      </w:r>
      <w:r>
        <w:tab/>
        <w:t>14</w:t>
      </w:r>
      <w:r>
        <w:tab/>
        <w:t>Taux de surcote :</w:t>
      </w:r>
      <w:r>
        <w:tab/>
      </w:r>
      <w:r>
        <w:tab/>
        <w:t>17,50 %</w:t>
      </w:r>
      <w:r>
        <w:tab/>
        <w:t>Total trimestres tous régimes : 177</w:t>
      </w:r>
    </w:p>
    <w:tbl>
      <w:tblPr>
        <w:tblStyle w:val="Grilledutableau"/>
        <w:tblW w:w="0" w:type="auto"/>
        <w:tblLook w:val="04A0" w:firstRow="1" w:lastRow="0" w:firstColumn="1" w:lastColumn="0" w:noHBand="0" w:noVBand="1"/>
      </w:tblPr>
      <w:tblGrid>
        <w:gridCol w:w="4606"/>
        <w:gridCol w:w="4606"/>
      </w:tblGrid>
      <w:tr w:rsidR="00421420" w:rsidRPr="004204C3" w14:paraId="2A5130F7" w14:textId="77777777" w:rsidTr="00C552ED">
        <w:tc>
          <w:tcPr>
            <w:tcW w:w="4606" w:type="dxa"/>
          </w:tcPr>
          <w:p w14:paraId="04302407" w14:textId="77777777" w:rsidR="00421420" w:rsidRPr="00421420" w:rsidRDefault="00421420" w:rsidP="009F2B38">
            <w:pPr>
              <w:pStyle w:val="Paragraphe12"/>
              <w:spacing w:before="80" w:after="80"/>
              <w:jc w:val="center"/>
              <w:rPr>
                <w:sz w:val="20"/>
                <w:szCs w:val="20"/>
              </w:rPr>
            </w:pPr>
            <w:r w:rsidRPr="00421420">
              <w:rPr>
                <w:sz w:val="20"/>
                <w:szCs w:val="20"/>
              </w:rPr>
              <w:t>Calcul Cavimac</w:t>
            </w:r>
          </w:p>
        </w:tc>
        <w:tc>
          <w:tcPr>
            <w:tcW w:w="4606" w:type="dxa"/>
          </w:tcPr>
          <w:p w14:paraId="45E2D6A4" w14:textId="77777777" w:rsidR="00421420" w:rsidRPr="004204C3" w:rsidRDefault="00421420" w:rsidP="009F2B38">
            <w:pPr>
              <w:pStyle w:val="Paragraphe12"/>
              <w:spacing w:before="80" w:after="80"/>
              <w:jc w:val="center"/>
              <w:rPr>
                <w:sz w:val="20"/>
                <w:szCs w:val="20"/>
              </w:rPr>
            </w:pPr>
            <w:r>
              <w:rPr>
                <w:sz w:val="20"/>
                <w:szCs w:val="20"/>
              </w:rPr>
              <w:t>Calcul selon la législation</w:t>
            </w:r>
          </w:p>
        </w:tc>
      </w:tr>
      <w:tr w:rsidR="00421420" w:rsidRPr="004204C3" w14:paraId="3B2A5C4B" w14:textId="77777777" w:rsidTr="00C552ED">
        <w:tc>
          <w:tcPr>
            <w:tcW w:w="4606" w:type="dxa"/>
          </w:tcPr>
          <w:p w14:paraId="07D02FFA" w14:textId="77777777" w:rsidR="005416C5" w:rsidRPr="000A4411" w:rsidRDefault="000A4411" w:rsidP="009F2B38">
            <w:pPr>
              <w:pStyle w:val="Paragraphe12"/>
              <w:spacing w:before="80" w:after="80"/>
              <w:rPr>
                <w:sz w:val="20"/>
                <w:szCs w:val="20"/>
              </w:rPr>
            </w:pPr>
            <w:r w:rsidRPr="000A4411">
              <w:rPr>
                <w:sz w:val="20"/>
                <w:szCs w:val="20"/>
              </w:rPr>
              <w:t>Application des d</w:t>
            </w:r>
            <w:r>
              <w:rPr>
                <w:sz w:val="20"/>
                <w:szCs w:val="20"/>
              </w:rPr>
              <w:t>ispositions de l’article L 351-10</w:t>
            </w:r>
          </w:p>
          <w:p w14:paraId="58CD3ECB" w14:textId="77777777" w:rsidR="00421420" w:rsidRPr="00D4108E" w:rsidRDefault="00421420" w:rsidP="009F2B38">
            <w:pPr>
              <w:pStyle w:val="Paragraphe12"/>
              <w:spacing w:before="80" w:after="80"/>
              <w:rPr>
                <w:sz w:val="20"/>
                <w:szCs w:val="20"/>
                <w:lang w:val="it-IT"/>
              </w:rPr>
            </w:pPr>
            <w:r w:rsidRPr="00D4108E">
              <w:rPr>
                <w:sz w:val="20"/>
                <w:szCs w:val="20"/>
                <w:lang w:val="it-IT"/>
              </w:rPr>
              <w:t>MICO</w:t>
            </w:r>
            <w:r w:rsidRPr="00D4108E">
              <w:rPr>
                <w:sz w:val="20"/>
                <w:szCs w:val="20"/>
                <w:lang w:val="it-IT"/>
              </w:rPr>
              <w:tab/>
              <w:t>629,62 x 76 / 177</w:t>
            </w:r>
            <w:r w:rsidRPr="00D4108E">
              <w:rPr>
                <w:sz w:val="20"/>
                <w:szCs w:val="20"/>
                <w:lang w:val="it-IT"/>
              </w:rPr>
              <w:tab/>
            </w:r>
            <w:r w:rsidRPr="00D4108E">
              <w:rPr>
                <w:sz w:val="20"/>
                <w:szCs w:val="20"/>
                <w:lang w:val="it-IT"/>
              </w:rPr>
              <w:tab/>
              <w:t>= 270,34 €</w:t>
            </w:r>
          </w:p>
          <w:p w14:paraId="54EEDBB2" w14:textId="77777777" w:rsidR="00421420" w:rsidRPr="00C552ED" w:rsidRDefault="00421420" w:rsidP="009F2B38">
            <w:pPr>
              <w:pStyle w:val="Paragraphe12"/>
              <w:spacing w:before="80" w:after="80"/>
              <w:rPr>
                <w:sz w:val="20"/>
                <w:szCs w:val="20"/>
                <w:lang w:val="it-IT"/>
              </w:rPr>
            </w:pPr>
            <w:r w:rsidRPr="00C552ED">
              <w:rPr>
                <w:sz w:val="20"/>
                <w:szCs w:val="20"/>
                <w:lang w:val="it-IT"/>
              </w:rPr>
              <w:t>MAJ.</w:t>
            </w:r>
            <w:r w:rsidRPr="00C552ED">
              <w:rPr>
                <w:sz w:val="20"/>
                <w:szCs w:val="20"/>
                <w:lang w:val="it-IT"/>
              </w:rPr>
              <w:tab/>
              <w:t>58,38 x 76 /177 x149 / 163</w:t>
            </w:r>
            <w:r w:rsidRPr="00C552ED">
              <w:rPr>
                <w:sz w:val="20"/>
                <w:szCs w:val="20"/>
                <w:lang w:val="it-IT"/>
              </w:rPr>
              <w:tab/>
              <w:t>= 22.91 €</w:t>
            </w:r>
          </w:p>
          <w:p w14:paraId="6A6F0F5B" w14:textId="77777777" w:rsidR="00421420" w:rsidRDefault="00421420" w:rsidP="009F2B38">
            <w:pPr>
              <w:pStyle w:val="Paragraphe12"/>
              <w:spacing w:before="80" w:after="80"/>
              <w:rPr>
                <w:sz w:val="20"/>
                <w:szCs w:val="20"/>
              </w:rPr>
            </w:pPr>
            <w:r>
              <w:rPr>
                <w:sz w:val="20"/>
                <w:szCs w:val="20"/>
              </w:rPr>
              <w:t>Surcote</w:t>
            </w:r>
            <w:r>
              <w:rPr>
                <w:sz w:val="20"/>
                <w:szCs w:val="20"/>
              </w:rPr>
              <w:tab/>
              <w:t>(270,34 + 22,91) x 17,5 %</w:t>
            </w:r>
            <w:r>
              <w:rPr>
                <w:sz w:val="20"/>
                <w:szCs w:val="20"/>
              </w:rPr>
              <w:tab/>
              <w:t>= 51,32 €</w:t>
            </w:r>
          </w:p>
          <w:p w14:paraId="41AD1224" w14:textId="77777777" w:rsidR="00421420" w:rsidRPr="004204C3" w:rsidRDefault="00421420" w:rsidP="009F2B38">
            <w:pPr>
              <w:pStyle w:val="Paragraphe12"/>
              <w:spacing w:before="80" w:after="80"/>
              <w:rPr>
                <w:sz w:val="20"/>
                <w:szCs w:val="20"/>
              </w:rPr>
            </w:pPr>
            <w:r>
              <w:rPr>
                <w:sz w:val="20"/>
                <w:szCs w:val="20"/>
              </w:rPr>
              <w:t>Pension</w:t>
            </w:r>
            <w:r>
              <w:rPr>
                <w:sz w:val="20"/>
                <w:szCs w:val="20"/>
              </w:rPr>
              <w:tab/>
              <w:t xml:space="preserve">270,34 + 22,91 + 51,32 </w:t>
            </w:r>
            <w:r>
              <w:rPr>
                <w:sz w:val="20"/>
                <w:szCs w:val="20"/>
              </w:rPr>
              <w:tab/>
              <w:t xml:space="preserve">= </w:t>
            </w:r>
            <w:r>
              <w:rPr>
                <w:b/>
                <w:sz w:val="20"/>
                <w:szCs w:val="20"/>
              </w:rPr>
              <w:t>344,57</w:t>
            </w:r>
          </w:p>
        </w:tc>
        <w:tc>
          <w:tcPr>
            <w:tcW w:w="4606" w:type="dxa"/>
          </w:tcPr>
          <w:p w14:paraId="279DC120" w14:textId="77777777" w:rsidR="000A4411" w:rsidRDefault="000A4411" w:rsidP="009F2B38">
            <w:pPr>
              <w:pStyle w:val="Paragraphe12"/>
              <w:spacing w:before="80" w:after="80"/>
              <w:rPr>
                <w:sz w:val="20"/>
                <w:szCs w:val="20"/>
              </w:rPr>
            </w:pPr>
            <w:r>
              <w:rPr>
                <w:sz w:val="20"/>
                <w:szCs w:val="20"/>
              </w:rPr>
              <w:t>Application du niveau du minimum de pension majoré : 688</w:t>
            </w:r>
          </w:p>
          <w:p w14:paraId="6A06BE7E" w14:textId="77777777" w:rsidR="000A4411" w:rsidRDefault="000A4411" w:rsidP="009F2B38">
            <w:pPr>
              <w:pStyle w:val="Paragraphe12"/>
              <w:spacing w:before="80" w:after="80"/>
              <w:rPr>
                <w:sz w:val="20"/>
                <w:szCs w:val="20"/>
              </w:rPr>
            </w:pPr>
          </w:p>
          <w:p w14:paraId="1FC6C7C2" w14:textId="77777777" w:rsidR="00421420" w:rsidRDefault="00421420" w:rsidP="009F2B38">
            <w:pPr>
              <w:pStyle w:val="Paragraphe12"/>
              <w:spacing w:before="80" w:after="80"/>
              <w:rPr>
                <w:sz w:val="20"/>
                <w:szCs w:val="20"/>
              </w:rPr>
            </w:pPr>
            <w:r>
              <w:rPr>
                <w:sz w:val="20"/>
                <w:szCs w:val="20"/>
              </w:rPr>
              <w:tab/>
              <w:t>688 x 76 / 163</w:t>
            </w:r>
            <w:r>
              <w:rPr>
                <w:sz w:val="20"/>
                <w:szCs w:val="20"/>
              </w:rPr>
              <w:tab/>
              <w:t>= 320,78 €</w:t>
            </w:r>
          </w:p>
          <w:p w14:paraId="27EA2B1B" w14:textId="77777777" w:rsidR="00421420" w:rsidRDefault="00421420" w:rsidP="009F2B38">
            <w:pPr>
              <w:pStyle w:val="Paragraphe12"/>
              <w:spacing w:before="80" w:after="80"/>
              <w:rPr>
                <w:sz w:val="20"/>
                <w:szCs w:val="20"/>
              </w:rPr>
            </w:pPr>
            <w:r>
              <w:rPr>
                <w:sz w:val="20"/>
                <w:szCs w:val="20"/>
              </w:rPr>
              <w:t>Surcote</w:t>
            </w:r>
            <w:r>
              <w:rPr>
                <w:sz w:val="20"/>
                <w:szCs w:val="20"/>
              </w:rPr>
              <w:tab/>
              <w:t>320,78 x 17,50 %</w:t>
            </w:r>
            <w:r>
              <w:rPr>
                <w:sz w:val="20"/>
                <w:szCs w:val="20"/>
              </w:rPr>
              <w:tab/>
              <w:t xml:space="preserve">= </w:t>
            </w:r>
            <w:r w:rsidR="00A02E40">
              <w:rPr>
                <w:sz w:val="20"/>
                <w:szCs w:val="20"/>
              </w:rPr>
              <w:t>56,14</w:t>
            </w:r>
            <w:r>
              <w:rPr>
                <w:sz w:val="20"/>
                <w:szCs w:val="20"/>
              </w:rPr>
              <w:t xml:space="preserve"> €</w:t>
            </w:r>
          </w:p>
          <w:p w14:paraId="5D84652D" w14:textId="77777777" w:rsidR="00421420" w:rsidRPr="004204C3" w:rsidRDefault="00421420" w:rsidP="009F2B38">
            <w:pPr>
              <w:pStyle w:val="Paragraphe12"/>
              <w:spacing w:before="80" w:after="80"/>
              <w:rPr>
                <w:sz w:val="20"/>
                <w:szCs w:val="20"/>
              </w:rPr>
            </w:pPr>
            <w:r>
              <w:rPr>
                <w:sz w:val="20"/>
                <w:szCs w:val="20"/>
              </w:rPr>
              <w:t>Pension</w:t>
            </w:r>
            <w:r>
              <w:rPr>
                <w:sz w:val="20"/>
                <w:szCs w:val="20"/>
              </w:rPr>
              <w:tab/>
              <w:t xml:space="preserve">320,78 + </w:t>
            </w:r>
            <w:r w:rsidR="00A02E40">
              <w:rPr>
                <w:sz w:val="20"/>
                <w:szCs w:val="20"/>
              </w:rPr>
              <w:t>56,14</w:t>
            </w:r>
            <w:r>
              <w:rPr>
                <w:sz w:val="20"/>
                <w:szCs w:val="20"/>
              </w:rPr>
              <w:tab/>
              <w:t xml:space="preserve">= </w:t>
            </w:r>
            <w:r w:rsidR="00A02E40">
              <w:rPr>
                <w:b/>
                <w:sz w:val="20"/>
                <w:szCs w:val="20"/>
              </w:rPr>
              <w:t>376,92</w:t>
            </w:r>
            <w:r>
              <w:rPr>
                <w:sz w:val="20"/>
                <w:szCs w:val="20"/>
              </w:rPr>
              <w:t xml:space="preserve"> €</w:t>
            </w:r>
          </w:p>
        </w:tc>
      </w:tr>
    </w:tbl>
    <w:p w14:paraId="418B045B" w14:textId="3E6CD432" w:rsidR="00647A24" w:rsidRDefault="00647A24" w:rsidP="009F2B38">
      <w:pPr>
        <w:spacing w:before="0"/>
        <w:rPr>
          <w:rFonts w:ascii="Arial Narrow" w:eastAsia="Calibri" w:hAnsi="Arial Narrow"/>
          <w:b/>
          <w:caps/>
          <w:szCs w:val="24"/>
          <w:u w:val="single"/>
          <w:lang w:eastAsia="fr-FR"/>
        </w:rPr>
      </w:pPr>
      <w:bookmarkStart w:id="30" w:name="_Toc472513169"/>
      <w:bookmarkEnd w:id="8"/>
      <w:bookmarkEnd w:id="9"/>
      <w:bookmarkEnd w:id="30"/>
    </w:p>
    <w:sectPr w:rsidR="00647A24" w:rsidSect="00292C1B">
      <w:footerReference w:type="default" r:id="rId8"/>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AB76" w14:textId="77777777" w:rsidR="00766F5A" w:rsidRDefault="00766F5A" w:rsidP="00437985">
      <w:r>
        <w:separator/>
      </w:r>
    </w:p>
  </w:endnote>
  <w:endnote w:type="continuationSeparator" w:id="0">
    <w:p w14:paraId="2B5C66B4" w14:textId="77777777" w:rsidR="00766F5A" w:rsidRDefault="00766F5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6ED4" w14:textId="5DA9A254" w:rsidR="000E0C57" w:rsidRPr="00EB6C8F" w:rsidRDefault="000E0C57"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8BBA2DF" w14:textId="77777777" w:rsidR="000E0C57" w:rsidRPr="007303D1" w:rsidRDefault="000E0C57"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D921" w14:textId="77777777" w:rsidR="00766F5A" w:rsidRDefault="00766F5A" w:rsidP="00437985">
      <w:r>
        <w:separator/>
      </w:r>
    </w:p>
  </w:footnote>
  <w:footnote w:type="continuationSeparator" w:id="0">
    <w:p w14:paraId="0F1143A0" w14:textId="77777777" w:rsidR="00766F5A" w:rsidRDefault="00766F5A" w:rsidP="00437985">
      <w:r>
        <w:continuationSeparator/>
      </w:r>
    </w:p>
  </w:footnote>
  <w:footnote w:id="1">
    <w:p w14:paraId="533BF000" w14:textId="77777777" w:rsidR="000E0C57" w:rsidRDefault="000E0C57" w:rsidP="006503E8">
      <w:pPr>
        <w:pStyle w:val="Notedebasdepage"/>
      </w:pPr>
      <w:r>
        <w:rPr>
          <w:rStyle w:val="Appelnotedebasdep"/>
        </w:rPr>
        <w:footnoteRef/>
      </w:r>
      <w:r>
        <w:t xml:space="preserve"> Les modalités du calcul de la pension de la caisse des cultes sont initialement définies par les articles 37, 38 et 39 du décret 79-607 du 3 juillet 1979 et codifiées en D 721-6, D 721-7 et D 721-8 ancien code.</w:t>
      </w:r>
    </w:p>
    <w:p w14:paraId="3D730B6A" w14:textId="77777777" w:rsidR="000E0C57" w:rsidRDefault="000E0C57" w:rsidP="006503E8">
      <w:pPr>
        <w:pStyle w:val="Notedebasdepage"/>
      </w:pPr>
      <w:r>
        <w:t>Les dispositions régissant la caisse des cultes étaient alors placées au livre VII du Code de la Sécurité sociale, parmi les régimes divers.</w:t>
      </w:r>
    </w:p>
  </w:footnote>
  <w:footnote w:id="2">
    <w:p w14:paraId="0189AC11" w14:textId="77777777" w:rsidR="000E0C57" w:rsidRDefault="000E0C57" w:rsidP="006503E8">
      <w:pPr>
        <w:pStyle w:val="Notedebasdepage"/>
      </w:pPr>
      <w:r w:rsidRPr="000024C2">
        <w:rPr>
          <w:rStyle w:val="Appelnotedebasdep"/>
        </w:rPr>
        <w:footnoteRef/>
      </w:r>
      <w:r w:rsidRPr="00D67328">
        <w:rPr>
          <w:rStyle w:val="Appelnotedebasdep"/>
        </w:rPr>
        <w:t xml:space="preserve"> </w:t>
      </w:r>
      <w:r>
        <w:t xml:space="preserve">L’article </w:t>
      </w:r>
      <w:r w:rsidRPr="00B77453">
        <w:t>L 721-6</w:t>
      </w:r>
      <w:r>
        <w:t xml:space="preserve"> deviendra</w:t>
      </w:r>
      <w:r w:rsidRPr="00B77453">
        <w:t xml:space="preserve"> L 382-27 </w:t>
      </w:r>
      <w:r>
        <w:t>(</w:t>
      </w:r>
      <w:r w:rsidRPr="00B77453">
        <w:t>loi 2005-1579 du 19 décembre 2005</w:t>
      </w:r>
      <w:r>
        <w:t>)</w:t>
      </w:r>
      <w:r w:rsidRPr="00B77453">
        <w:t>.</w:t>
      </w:r>
    </w:p>
  </w:footnote>
  <w:footnote w:id="3">
    <w:p w14:paraId="199AB164" w14:textId="77777777" w:rsidR="000E0C57" w:rsidRPr="003F3B65" w:rsidRDefault="000E0C57" w:rsidP="006503E8">
      <w:pPr>
        <w:pStyle w:val="Notedebasdepage"/>
      </w:pPr>
      <w:r>
        <w:rPr>
          <w:rStyle w:val="Appelnotedebasdep"/>
        </w:rPr>
        <w:footnoteRef/>
      </w:r>
      <w:r>
        <w:t xml:space="preserve"> Il s’agit bien de toutes les périodes antérieures à 1998, y compris les périodes d’activité antérieures au 1</w:t>
      </w:r>
      <w:r w:rsidRPr="00BC6080">
        <w:rPr>
          <w:vertAlign w:val="superscript"/>
        </w:rPr>
        <w:t>er</w:t>
      </w:r>
      <w:r>
        <w:t xml:space="preserve"> janvier 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502"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0"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2"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0"/>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7"/>
  </w:num>
  <w:num w:numId="15">
    <w:abstractNumId w:val="21"/>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3"/>
  </w:num>
  <w:num w:numId="17">
    <w:abstractNumId w:val="11"/>
  </w:num>
  <w:num w:numId="18">
    <w:abstractNumId w:val="12"/>
  </w:num>
  <w:num w:numId="19">
    <w:abstractNumId w:val="21"/>
  </w:num>
  <w:num w:numId="20">
    <w:abstractNumId w:val="22"/>
  </w:num>
  <w:num w:numId="21">
    <w:abstractNumId w:val="16"/>
  </w:num>
  <w:num w:numId="22">
    <w:abstractNumId w:val="19"/>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5C4"/>
    <w:rsid w:val="00000468"/>
    <w:rsid w:val="000006A8"/>
    <w:rsid w:val="0000075C"/>
    <w:rsid w:val="00000849"/>
    <w:rsid w:val="00000EFE"/>
    <w:rsid w:val="000019A6"/>
    <w:rsid w:val="000023B1"/>
    <w:rsid w:val="000026AA"/>
    <w:rsid w:val="00002701"/>
    <w:rsid w:val="000028C1"/>
    <w:rsid w:val="00002A3D"/>
    <w:rsid w:val="00002D8C"/>
    <w:rsid w:val="00003739"/>
    <w:rsid w:val="000039A9"/>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3B1"/>
    <w:rsid w:val="00032846"/>
    <w:rsid w:val="000328C0"/>
    <w:rsid w:val="000335C3"/>
    <w:rsid w:val="000338DC"/>
    <w:rsid w:val="0003410A"/>
    <w:rsid w:val="0003500B"/>
    <w:rsid w:val="0003506F"/>
    <w:rsid w:val="000350BF"/>
    <w:rsid w:val="00035204"/>
    <w:rsid w:val="000355FC"/>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7CF"/>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1FCD"/>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19B"/>
    <w:rsid w:val="000901C8"/>
    <w:rsid w:val="0009020F"/>
    <w:rsid w:val="0009055A"/>
    <w:rsid w:val="00090ADF"/>
    <w:rsid w:val="00090B0F"/>
    <w:rsid w:val="00090DEE"/>
    <w:rsid w:val="00092520"/>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02"/>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D7F74"/>
    <w:rsid w:val="000E05BA"/>
    <w:rsid w:val="000E0905"/>
    <w:rsid w:val="000E0C57"/>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6D02"/>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667"/>
    <w:rsid w:val="0010479C"/>
    <w:rsid w:val="00104A52"/>
    <w:rsid w:val="00104B1F"/>
    <w:rsid w:val="00104B71"/>
    <w:rsid w:val="00105431"/>
    <w:rsid w:val="001054E4"/>
    <w:rsid w:val="0010670C"/>
    <w:rsid w:val="00110110"/>
    <w:rsid w:val="001109C2"/>
    <w:rsid w:val="00110BCA"/>
    <w:rsid w:val="0011176C"/>
    <w:rsid w:val="00111F9F"/>
    <w:rsid w:val="0011270E"/>
    <w:rsid w:val="0011271B"/>
    <w:rsid w:val="001131E6"/>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C86"/>
    <w:rsid w:val="00143351"/>
    <w:rsid w:val="00143455"/>
    <w:rsid w:val="001434D8"/>
    <w:rsid w:val="00143865"/>
    <w:rsid w:val="001439C6"/>
    <w:rsid w:val="00143B25"/>
    <w:rsid w:val="00143C68"/>
    <w:rsid w:val="00143DA3"/>
    <w:rsid w:val="0014462B"/>
    <w:rsid w:val="00145731"/>
    <w:rsid w:val="00145764"/>
    <w:rsid w:val="0014633C"/>
    <w:rsid w:val="0014644A"/>
    <w:rsid w:val="00147190"/>
    <w:rsid w:val="001471B9"/>
    <w:rsid w:val="00147789"/>
    <w:rsid w:val="00147DC3"/>
    <w:rsid w:val="00147E07"/>
    <w:rsid w:val="00147F9F"/>
    <w:rsid w:val="00150381"/>
    <w:rsid w:val="00150AA2"/>
    <w:rsid w:val="00151745"/>
    <w:rsid w:val="0015238B"/>
    <w:rsid w:val="0015275D"/>
    <w:rsid w:val="001543CD"/>
    <w:rsid w:val="001546D9"/>
    <w:rsid w:val="001550C1"/>
    <w:rsid w:val="001551FF"/>
    <w:rsid w:val="00155240"/>
    <w:rsid w:val="001555E6"/>
    <w:rsid w:val="001561FD"/>
    <w:rsid w:val="0015625F"/>
    <w:rsid w:val="00156827"/>
    <w:rsid w:val="001568C7"/>
    <w:rsid w:val="00156A94"/>
    <w:rsid w:val="0015729E"/>
    <w:rsid w:val="00157437"/>
    <w:rsid w:val="00157636"/>
    <w:rsid w:val="00160A95"/>
    <w:rsid w:val="00160CF9"/>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6EEF"/>
    <w:rsid w:val="00167C93"/>
    <w:rsid w:val="001700EA"/>
    <w:rsid w:val="001706ED"/>
    <w:rsid w:val="00171A0B"/>
    <w:rsid w:val="00171C14"/>
    <w:rsid w:val="001723F4"/>
    <w:rsid w:val="00173C04"/>
    <w:rsid w:val="00173CCE"/>
    <w:rsid w:val="00174830"/>
    <w:rsid w:val="00174F50"/>
    <w:rsid w:val="00175F47"/>
    <w:rsid w:val="00176612"/>
    <w:rsid w:val="00177BAA"/>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68D9"/>
    <w:rsid w:val="001A7441"/>
    <w:rsid w:val="001A75B3"/>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86"/>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D89"/>
    <w:rsid w:val="001F731D"/>
    <w:rsid w:val="001F74E2"/>
    <w:rsid w:val="001F77B0"/>
    <w:rsid w:val="001F7967"/>
    <w:rsid w:val="002001C9"/>
    <w:rsid w:val="002003E0"/>
    <w:rsid w:val="00200719"/>
    <w:rsid w:val="00200A35"/>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35B"/>
    <w:rsid w:val="00221E25"/>
    <w:rsid w:val="00222710"/>
    <w:rsid w:val="00222A34"/>
    <w:rsid w:val="00222CAF"/>
    <w:rsid w:val="002230A7"/>
    <w:rsid w:val="002233A0"/>
    <w:rsid w:val="002243C5"/>
    <w:rsid w:val="002246BC"/>
    <w:rsid w:val="00224D28"/>
    <w:rsid w:val="0022503D"/>
    <w:rsid w:val="0022538E"/>
    <w:rsid w:val="00225410"/>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6AA"/>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501"/>
    <w:rsid w:val="0024192B"/>
    <w:rsid w:val="00242226"/>
    <w:rsid w:val="00242BD5"/>
    <w:rsid w:val="00242C45"/>
    <w:rsid w:val="00243114"/>
    <w:rsid w:val="00243290"/>
    <w:rsid w:val="00243382"/>
    <w:rsid w:val="002439D8"/>
    <w:rsid w:val="00243BDA"/>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65D"/>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66F"/>
    <w:rsid w:val="00266354"/>
    <w:rsid w:val="00266D44"/>
    <w:rsid w:val="00266D4B"/>
    <w:rsid w:val="00266F8E"/>
    <w:rsid w:val="0026721A"/>
    <w:rsid w:val="0026723A"/>
    <w:rsid w:val="002676D0"/>
    <w:rsid w:val="002678C9"/>
    <w:rsid w:val="002678DF"/>
    <w:rsid w:val="00267B3F"/>
    <w:rsid w:val="00270070"/>
    <w:rsid w:val="002717DC"/>
    <w:rsid w:val="002718E8"/>
    <w:rsid w:val="00272981"/>
    <w:rsid w:val="002729DA"/>
    <w:rsid w:val="0027300C"/>
    <w:rsid w:val="0027371B"/>
    <w:rsid w:val="00274A20"/>
    <w:rsid w:val="00274C59"/>
    <w:rsid w:val="00275124"/>
    <w:rsid w:val="0027593E"/>
    <w:rsid w:val="00275BE9"/>
    <w:rsid w:val="00276173"/>
    <w:rsid w:val="002763AB"/>
    <w:rsid w:val="00276E5C"/>
    <w:rsid w:val="002775AE"/>
    <w:rsid w:val="00280504"/>
    <w:rsid w:val="0028072F"/>
    <w:rsid w:val="00280F93"/>
    <w:rsid w:val="00281049"/>
    <w:rsid w:val="002814E8"/>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87E68"/>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54"/>
    <w:rsid w:val="002A72CE"/>
    <w:rsid w:val="002B007D"/>
    <w:rsid w:val="002B13D2"/>
    <w:rsid w:val="002B35C4"/>
    <w:rsid w:val="002B3812"/>
    <w:rsid w:val="002B43C1"/>
    <w:rsid w:val="002B4544"/>
    <w:rsid w:val="002B47FC"/>
    <w:rsid w:val="002B4A0C"/>
    <w:rsid w:val="002B5356"/>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313"/>
    <w:rsid w:val="002C4A22"/>
    <w:rsid w:val="002C50AE"/>
    <w:rsid w:val="002C55D8"/>
    <w:rsid w:val="002C5CB2"/>
    <w:rsid w:val="002C643A"/>
    <w:rsid w:val="002C65BC"/>
    <w:rsid w:val="002C6836"/>
    <w:rsid w:val="002C709B"/>
    <w:rsid w:val="002C7113"/>
    <w:rsid w:val="002C7B11"/>
    <w:rsid w:val="002C7E88"/>
    <w:rsid w:val="002C7F33"/>
    <w:rsid w:val="002D0BFA"/>
    <w:rsid w:val="002D1815"/>
    <w:rsid w:val="002D1928"/>
    <w:rsid w:val="002D2989"/>
    <w:rsid w:val="002D3D01"/>
    <w:rsid w:val="002D3D14"/>
    <w:rsid w:val="002D49E0"/>
    <w:rsid w:val="002D4AA4"/>
    <w:rsid w:val="002D66EC"/>
    <w:rsid w:val="002D6B7D"/>
    <w:rsid w:val="002D7139"/>
    <w:rsid w:val="002D7DD0"/>
    <w:rsid w:val="002E014A"/>
    <w:rsid w:val="002E04EA"/>
    <w:rsid w:val="002E15A1"/>
    <w:rsid w:val="002E1BAF"/>
    <w:rsid w:val="002E20A9"/>
    <w:rsid w:val="002E253A"/>
    <w:rsid w:val="002E3329"/>
    <w:rsid w:val="002E3693"/>
    <w:rsid w:val="002E4142"/>
    <w:rsid w:val="002E5A8C"/>
    <w:rsid w:val="002E5D51"/>
    <w:rsid w:val="002E5D5D"/>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0BF"/>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73C"/>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3D4"/>
    <w:rsid w:val="00366509"/>
    <w:rsid w:val="00366517"/>
    <w:rsid w:val="00366842"/>
    <w:rsid w:val="00367124"/>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6943"/>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1AA6"/>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8BB"/>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5C4"/>
    <w:rsid w:val="003D4659"/>
    <w:rsid w:val="003D499D"/>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841"/>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4CCB"/>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3EA0"/>
    <w:rsid w:val="004642D7"/>
    <w:rsid w:val="004646E6"/>
    <w:rsid w:val="0046476C"/>
    <w:rsid w:val="00464EEE"/>
    <w:rsid w:val="0046502A"/>
    <w:rsid w:val="00467A7D"/>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0B3"/>
    <w:rsid w:val="00481278"/>
    <w:rsid w:val="004812B3"/>
    <w:rsid w:val="004844B8"/>
    <w:rsid w:val="004845F4"/>
    <w:rsid w:val="00484F66"/>
    <w:rsid w:val="0048561D"/>
    <w:rsid w:val="004856C5"/>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250"/>
    <w:rsid w:val="004B733D"/>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38E"/>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529"/>
    <w:rsid w:val="004D4A36"/>
    <w:rsid w:val="004D4A6B"/>
    <w:rsid w:val="004D4ECB"/>
    <w:rsid w:val="004D5446"/>
    <w:rsid w:val="004D58AE"/>
    <w:rsid w:val="004D5D7B"/>
    <w:rsid w:val="004D67E9"/>
    <w:rsid w:val="004D69D3"/>
    <w:rsid w:val="004D721C"/>
    <w:rsid w:val="004D7BF8"/>
    <w:rsid w:val="004D7FAD"/>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AFC"/>
    <w:rsid w:val="00507B30"/>
    <w:rsid w:val="00507B5B"/>
    <w:rsid w:val="00507EAB"/>
    <w:rsid w:val="005100E6"/>
    <w:rsid w:val="00510307"/>
    <w:rsid w:val="0051060F"/>
    <w:rsid w:val="00510EE9"/>
    <w:rsid w:val="00510F54"/>
    <w:rsid w:val="005119FB"/>
    <w:rsid w:val="00511BE3"/>
    <w:rsid w:val="0051218D"/>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6DB0"/>
    <w:rsid w:val="00537870"/>
    <w:rsid w:val="00537B71"/>
    <w:rsid w:val="005404C8"/>
    <w:rsid w:val="00540510"/>
    <w:rsid w:val="005416C5"/>
    <w:rsid w:val="00541D61"/>
    <w:rsid w:val="00542592"/>
    <w:rsid w:val="00542819"/>
    <w:rsid w:val="00542946"/>
    <w:rsid w:val="0054392C"/>
    <w:rsid w:val="00543F5B"/>
    <w:rsid w:val="00543FBA"/>
    <w:rsid w:val="005442DF"/>
    <w:rsid w:val="00545321"/>
    <w:rsid w:val="00545739"/>
    <w:rsid w:val="00545824"/>
    <w:rsid w:val="005458E1"/>
    <w:rsid w:val="00545B41"/>
    <w:rsid w:val="00545E2D"/>
    <w:rsid w:val="00547445"/>
    <w:rsid w:val="00547790"/>
    <w:rsid w:val="00550099"/>
    <w:rsid w:val="00550D9D"/>
    <w:rsid w:val="0055110A"/>
    <w:rsid w:val="00552492"/>
    <w:rsid w:val="005526E4"/>
    <w:rsid w:val="005527A4"/>
    <w:rsid w:val="00552AC4"/>
    <w:rsid w:val="00552B11"/>
    <w:rsid w:val="00552D01"/>
    <w:rsid w:val="005535D4"/>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A27"/>
    <w:rsid w:val="00557FF2"/>
    <w:rsid w:val="00560F62"/>
    <w:rsid w:val="005610AC"/>
    <w:rsid w:val="005611FE"/>
    <w:rsid w:val="00562127"/>
    <w:rsid w:val="005624A1"/>
    <w:rsid w:val="005626AD"/>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0D0"/>
    <w:rsid w:val="00584183"/>
    <w:rsid w:val="0058465D"/>
    <w:rsid w:val="00584F1E"/>
    <w:rsid w:val="0058500F"/>
    <w:rsid w:val="0058534C"/>
    <w:rsid w:val="00585CBF"/>
    <w:rsid w:val="005868D4"/>
    <w:rsid w:val="005874D0"/>
    <w:rsid w:val="0058772A"/>
    <w:rsid w:val="00587F52"/>
    <w:rsid w:val="00590235"/>
    <w:rsid w:val="00590CFA"/>
    <w:rsid w:val="005911DB"/>
    <w:rsid w:val="0059270A"/>
    <w:rsid w:val="00592A15"/>
    <w:rsid w:val="00592C73"/>
    <w:rsid w:val="00592D92"/>
    <w:rsid w:val="0059306C"/>
    <w:rsid w:val="00593725"/>
    <w:rsid w:val="005938E7"/>
    <w:rsid w:val="00593D51"/>
    <w:rsid w:val="00593F10"/>
    <w:rsid w:val="00593F5E"/>
    <w:rsid w:val="005941FD"/>
    <w:rsid w:val="00594421"/>
    <w:rsid w:val="005947A9"/>
    <w:rsid w:val="005953BD"/>
    <w:rsid w:val="00596393"/>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25B"/>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143D"/>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A68"/>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034"/>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47A24"/>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090"/>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B34"/>
    <w:rsid w:val="00662C0B"/>
    <w:rsid w:val="006636AC"/>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1B51"/>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4382"/>
    <w:rsid w:val="006C45E4"/>
    <w:rsid w:val="006C512B"/>
    <w:rsid w:val="006C5674"/>
    <w:rsid w:val="006C58C5"/>
    <w:rsid w:val="006C6959"/>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6F7EA6"/>
    <w:rsid w:val="007000ED"/>
    <w:rsid w:val="00700626"/>
    <w:rsid w:val="00700E8C"/>
    <w:rsid w:val="00700EA9"/>
    <w:rsid w:val="00701426"/>
    <w:rsid w:val="00701A4B"/>
    <w:rsid w:val="00702323"/>
    <w:rsid w:val="00702437"/>
    <w:rsid w:val="007029EB"/>
    <w:rsid w:val="00702E1A"/>
    <w:rsid w:val="00703101"/>
    <w:rsid w:val="00703D27"/>
    <w:rsid w:val="00704C42"/>
    <w:rsid w:val="00704CE4"/>
    <w:rsid w:val="00704DEB"/>
    <w:rsid w:val="00704FFD"/>
    <w:rsid w:val="00705372"/>
    <w:rsid w:val="00705DF7"/>
    <w:rsid w:val="00705E6D"/>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8B8"/>
    <w:rsid w:val="007231CB"/>
    <w:rsid w:val="00723B96"/>
    <w:rsid w:val="007241C5"/>
    <w:rsid w:val="007243F9"/>
    <w:rsid w:val="0072447F"/>
    <w:rsid w:val="007244BF"/>
    <w:rsid w:val="007244D9"/>
    <w:rsid w:val="007248CC"/>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236"/>
    <w:rsid w:val="00755B60"/>
    <w:rsid w:val="00756518"/>
    <w:rsid w:val="00756AFA"/>
    <w:rsid w:val="00756CF3"/>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6F5A"/>
    <w:rsid w:val="00767945"/>
    <w:rsid w:val="00767AE1"/>
    <w:rsid w:val="00770154"/>
    <w:rsid w:val="00770C53"/>
    <w:rsid w:val="00771C49"/>
    <w:rsid w:val="00772D5B"/>
    <w:rsid w:val="00772E15"/>
    <w:rsid w:val="007732FC"/>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3F"/>
    <w:rsid w:val="007B4ACC"/>
    <w:rsid w:val="007B4E7C"/>
    <w:rsid w:val="007B5873"/>
    <w:rsid w:val="007B5F26"/>
    <w:rsid w:val="007B66E2"/>
    <w:rsid w:val="007B7507"/>
    <w:rsid w:val="007B75C6"/>
    <w:rsid w:val="007B79BD"/>
    <w:rsid w:val="007B7AA0"/>
    <w:rsid w:val="007C00DB"/>
    <w:rsid w:val="007C05D3"/>
    <w:rsid w:val="007C0B68"/>
    <w:rsid w:val="007C1122"/>
    <w:rsid w:val="007C1780"/>
    <w:rsid w:val="007C19CC"/>
    <w:rsid w:val="007C19DA"/>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3835"/>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0ABD"/>
    <w:rsid w:val="00821104"/>
    <w:rsid w:val="00821650"/>
    <w:rsid w:val="008218BF"/>
    <w:rsid w:val="00821C74"/>
    <w:rsid w:val="008238AC"/>
    <w:rsid w:val="008240D8"/>
    <w:rsid w:val="00824999"/>
    <w:rsid w:val="00824DA5"/>
    <w:rsid w:val="00825B56"/>
    <w:rsid w:val="00826017"/>
    <w:rsid w:val="00826871"/>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54C"/>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0FAB"/>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0AA2"/>
    <w:rsid w:val="00881146"/>
    <w:rsid w:val="00881998"/>
    <w:rsid w:val="00881F60"/>
    <w:rsid w:val="00882478"/>
    <w:rsid w:val="00882CD1"/>
    <w:rsid w:val="00882EAC"/>
    <w:rsid w:val="00882F51"/>
    <w:rsid w:val="00882FFC"/>
    <w:rsid w:val="008830BB"/>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1A44"/>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5EE"/>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53C6"/>
    <w:rsid w:val="008E5E4F"/>
    <w:rsid w:val="008E6892"/>
    <w:rsid w:val="008E6DBB"/>
    <w:rsid w:val="008E6F1D"/>
    <w:rsid w:val="008E787B"/>
    <w:rsid w:val="008E7B0C"/>
    <w:rsid w:val="008E7C8D"/>
    <w:rsid w:val="008F000D"/>
    <w:rsid w:val="008F01B5"/>
    <w:rsid w:val="008F03BC"/>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299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4085"/>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79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AFE"/>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26EE"/>
    <w:rsid w:val="009A3C4B"/>
    <w:rsid w:val="009A3FB6"/>
    <w:rsid w:val="009A43A1"/>
    <w:rsid w:val="009A43DC"/>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0F5F"/>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D7B52"/>
    <w:rsid w:val="009E0573"/>
    <w:rsid w:val="009E0C4E"/>
    <w:rsid w:val="009E146A"/>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B38"/>
    <w:rsid w:val="009F2ECF"/>
    <w:rsid w:val="009F33E0"/>
    <w:rsid w:val="009F34F2"/>
    <w:rsid w:val="009F3C2F"/>
    <w:rsid w:val="009F411D"/>
    <w:rsid w:val="009F4841"/>
    <w:rsid w:val="009F4867"/>
    <w:rsid w:val="009F4CB8"/>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403"/>
    <w:rsid w:val="00A10503"/>
    <w:rsid w:val="00A1068E"/>
    <w:rsid w:val="00A10D5B"/>
    <w:rsid w:val="00A1127D"/>
    <w:rsid w:val="00A117C1"/>
    <w:rsid w:val="00A120C9"/>
    <w:rsid w:val="00A12209"/>
    <w:rsid w:val="00A12952"/>
    <w:rsid w:val="00A130E6"/>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3FF"/>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137"/>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5D7F"/>
    <w:rsid w:val="00AB6477"/>
    <w:rsid w:val="00AB6605"/>
    <w:rsid w:val="00AB7A02"/>
    <w:rsid w:val="00AB7C6B"/>
    <w:rsid w:val="00AC0606"/>
    <w:rsid w:val="00AC1874"/>
    <w:rsid w:val="00AC2749"/>
    <w:rsid w:val="00AC275F"/>
    <w:rsid w:val="00AC2F8B"/>
    <w:rsid w:val="00AC34E6"/>
    <w:rsid w:val="00AC3886"/>
    <w:rsid w:val="00AC39C1"/>
    <w:rsid w:val="00AC3A42"/>
    <w:rsid w:val="00AC4651"/>
    <w:rsid w:val="00AC5222"/>
    <w:rsid w:val="00AC568D"/>
    <w:rsid w:val="00AC57A1"/>
    <w:rsid w:val="00AC6682"/>
    <w:rsid w:val="00AC6AC6"/>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6CFB"/>
    <w:rsid w:val="00AE7858"/>
    <w:rsid w:val="00AE7906"/>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141E"/>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C96"/>
    <w:rsid w:val="00B80186"/>
    <w:rsid w:val="00B80918"/>
    <w:rsid w:val="00B81662"/>
    <w:rsid w:val="00B82D20"/>
    <w:rsid w:val="00B836EA"/>
    <w:rsid w:val="00B840B9"/>
    <w:rsid w:val="00B842C9"/>
    <w:rsid w:val="00B84573"/>
    <w:rsid w:val="00B8529B"/>
    <w:rsid w:val="00B85720"/>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2C32"/>
    <w:rsid w:val="00BA328A"/>
    <w:rsid w:val="00BA38DA"/>
    <w:rsid w:val="00BA3BAA"/>
    <w:rsid w:val="00BA4240"/>
    <w:rsid w:val="00BA424C"/>
    <w:rsid w:val="00BA42D9"/>
    <w:rsid w:val="00BA4480"/>
    <w:rsid w:val="00BA4906"/>
    <w:rsid w:val="00BA4B0C"/>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A26"/>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AE0"/>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5661"/>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0176"/>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38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875"/>
    <w:rsid w:val="00C87A6F"/>
    <w:rsid w:val="00C87C68"/>
    <w:rsid w:val="00C900AB"/>
    <w:rsid w:val="00C90261"/>
    <w:rsid w:val="00C91AEB"/>
    <w:rsid w:val="00C91C0A"/>
    <w:rsid w:val="00C92578"/>
    <w:rsid w:val="00C92880"/>
    <w:rsid w:val="00C92AA4"/>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33"/>
    <w:rsid w:val="00CA7C7A"/>
    <w:rsid w:val="00CB0753"/>
    <w:rsid w:val="00CB0EE5"/>
    <w:rsid w:val="00CB0FC8"/>
    <w:rsid w:val="00CB105C"/>
    <w:rsid w:val="00CB1922"/>
    <w:rsid w:val="00CB254D"/>
    <w:rsid w:val="00CB2657"/>
    <w:rsid w:val="00CB35BD"/>
    <w:rsid w:val="00CB36FD"/>
    <w:rsid w:val="00CB3A5D"/>
    <w:rsid w:val="00CB4D9D"/>
    <w:rsid w:val="00CB50A0"/>
    <w:rsid w:val="00CB649E"/>
    <w:rsid w:val="00CB677F"/>
    <w:rsid w:val="00CB6B05"/>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C9"/>
    <w:rsid w:val="00CD6806"/>
    <w:rsid w:val="00CD68F5"/>
    <w:rsid w:val="00CD6BA8"/>
    <w:rsid w:val="00CD6D8B"/>
    <w:rsid w:val="00CD705D"/>
    <w:rsid w:val="00CE0598"/>
    <w:rsid w:val="00CE0A25"/>
    <w:rsid w:val="00CE15AC"/>
    <w:rsid w:val="00CE176F"/>
    <w:rsid w:val="00CE1C2B"/>
    <w:rsid w:val="00CE246F"/>
    <w:rsid w:val="00CE25FC"/>
    <w:rsid w:val="00CE29BD"/>
    <w:rsid w:val="00CE2CBB"/>
    <w:rsid w:val="00CE33D8"/>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578"/>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8F8"/>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1CB"/>
    <w:rsid w:val="00D50E68"/>
    <w:rsid w:val="00D50F9A"/>
    <w:rsid w:val="00D51895"/>
    <w:rsid w:val="00D523B1"/>
    <w:rsid w:val="00D52478"/>
    <w:rsid w:val="00D527EF"/>
    <w:rsid w:val="00D528C2"/>
    <w:rsid w:val="00D52A4E"/>
    <w:rsid w:val="00D52BEC"/>
    <w:rsid w:val="00D52F24"/>
    <w:rsid w:val="00D5317B"/>
    <w:rsid w:val="00D5319D"/>
    <w:rsid w:val="00D531BC"/>
    <w:rsid w:val="00D531C5"/>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5E6D"/>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3D4"/>
    <w:rsid w:val="00DD2FFA"/>
    <w:rsid w:val="00DD3094"/>
    <w:rsid w:val="00DD3371"/>
    <w:rsid w:val="00DD398A"/>
    <w:rsid w:val="00DD3AED"/>
    <w:rsid w:val="00DD47F0"/>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88D"/>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374"/>
    <w:rsid w:val="00E03870"/>
    <w:rsid w:val="00E03980"/>
    <w:rsid w:val="00E046F0"/>
    <w:rsid w:val="00E04AC1"/>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281"/>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5F29"/>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508"/>
    <w:rsid w:val="00E65CBC"/>
    <w:rsid w:val="00E65E2D"/>
    <w:rsid w:val="00E66413"/>
    <w:rsid w:val="00E66C5F"/>
    <w:rsid w:val="00E66D19"/>
    <w:rsid w:val="00E66FEB"/>
    <w:rsid w:val="00E6725B"/>
    <w:rsid w:val="00E6788C"/>
    <w:rsid w:val="00E67F95"/>
    <w:rsid w:val="00E70532"/>
    <w:rsid w:val="00E7108F"/>
    <w:rsid w:val="00E7191C"/>
    <w:rsid w:val="00E71A73"/>
    <w:rsid w:val="00E71D8F"/>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5F1D"/>
    <w:rsid w:val="00E76889"/>
    <w:rsid w:val="00E771C8"/>
    <w:rsid w:val="00E77B1C"/>
    <w:rsid w:val="00E80045"/>
    <w:rsid w:val="00E8074D"/>
    <w:rsid w:val="00E81A3C"/>
    <w:rsid w:val="00E8266D"/>
    <w:rsid w:val="00E82C12"/>
    <w:rsid w:val="00E835C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63A"/>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13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18DD"/>
    <w:rsid w:val="00EF3F61"/>
    <w:rsid w:val="00EF407A"/>
    <w:rsid w:val="00EF4367"/>
    <w:rsid w:val="00EF451D"/>
    <w:rsid w:val="00EF487E"/>
    <w:rsid w:val="00EF4DDF"/>
    <w:rsid w:val="00EF54A8"/>
    <w:rsid w:val="00EF5947"/>
    <w:rsid w:val="00EF63E7"/>
    <w:rsid w:val="00EF64CE"/>
    <w:rsid w:val="00EF6EF7"/>
    <w:rsid w:val="00EF77EE"/>
    <w:rsid w:val="00EF7BD2"/>
    <w:rsid w:val="00F00114"/>
    <w:rsid w:val="00F0054E"/>
    <w:rsid w:val="00F009AC"/>
    <w:rsid w:val="00F01449"/>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3C8"/>
    <w:rsid w:val="00F204B7"/>
    <w:rsid w:val="00F20BC5"/>
    <w:rsid w:val="00F214E9"/>
    <w:rsid w:val="00F21C0F"/>
    <w:rsid w:val="00F22037"/>
    <w:rsid w:val="00F222BC"/>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64DA"/>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1D84"/>
    <w:rsid w:val="00F7208C"/>
    <w:rsid w:val="00F721E9"/>
    <w:rsid w:val="00F726E1"/>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31DB"/>
    <w:rsid w:val="00F83667"/>
    <w:rsid w:val="00F83AA6"/>
    <w:rsid w:val="00F83BDB"/>
    <w:rsid w:val="00F84030"/>
    <w:rsid w:val="00F84232"/>
    <w:rsid w:val="00F84599"/>
    <w:rsid w:val="00F84BB4"/>
    <w:rsid w:val="00F84E8B"/>
    <w:rsid w:val="00F8507A"/>
    <w:rsid w:val="00F86525"/>
    <w:rsid w:val="00F86778"/>
    <w:rsid w:val="00F86CC5"/>
    <w:rsid w:val="00F86CD4"/>
    <w:rsid w:val="00F86D80"/>
    <w:rsid w:val="00F87469"/>
    <w:rsid w:val="00F87A17"/>
    <w:rsid w:val="00F87CE2"/>
    <w:rsid w:val="00F9148C"/>
    <w:rsid w:val="00F918C7"/>
    <w:rsid w:val="00F91DF7"/>
    <w:rsid w:val="00F92E49"/>
    <w:rsid w:val="00F930EC"/>
    <w:rsid w:val="00F932AE"/>
    <w:rsid w:val="00F936B4"/>
    <w:rsid w:val="00F947EA"/>
    <w:rsid w:val="00F94A38"/>
    <w:rsid w:val="00F94F70"/>
    <w:rsid w:val="00F952B1"/>
    <w:rsid w:val="00F955D9"/>
    <w:rsid w:val="00F95820"/>
    <w:rsid w:val="00F95C41"/>
    <w:rsid w:val="00F96B3B"/>
    <w:rsid w:val="00F97753"/>
    <w:rsid w:val="00F979CF"/>
    <w:rsid w:val="00F97EFB"/>
    <w:rsid w:val="00FA00AE"/>
    <w:rsid w:val="00FA0108"/>
    <w:rsid w:val="00FA0254"/>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5C29"/>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55E0"/>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005"/>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366"/>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DCE3"/>
  <w15:docId w15:val="{09167A09-FEFF-49CC-8397-D00CAE95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367124"/>
    <w:pPr>
      <w:keepNext/>
      <w:keepLines/>
      <w:spacing w:before="240"/>
      <w:outlineLvl w:val="3"/>
    </w:pPr>
    <w:rPr>
      <w:rFonts w:ascii="Arial Narrow" w:eastAsia="Calibri" w:hAnsi="Arial Narrow"/>
      <w:b/>
      <w:bCs/>
      <w:iCs/>
      <w:small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367124"/>
    <w:rPr>
      <w:rFonts w:ascii="Arial Narrow" w:hAnsi="Arial Narrow"/>
      <w:b/>
      <w:bCs/>
      <w:iCs/>
      <w:smallCaps/>
      <w:sz w:val="22"/>
      <w:lang w:eastAsia="en-US"/>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D2AE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D2AE0"/>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6F7EA6"/>
    <w:pPr>
      <w:spacing w:before="0"/>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D16D-5EFA-4AFF-9622-632A6328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26</TotalTime>
  <Pages>8</Pages>
  <Words>3569</Words>
  <Characters>19632</Characters>
  <Application>Microsoft Office Word</Application>
  <DocSecurity>8</DocSecurity>
  <Lines>163</Lines>
  <Paragraphs>46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23155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5</cp:revision>
  <cp:lastPrinted>2020-02-13T15:43:00Z</cp:lastPrinted>
  <dcterms:created xsi:type="dcterms:W3CDTF">2021-09-24T13:47:00Z</dcterms:created>
  <dcterms:modified xsi:type="dcterms:W3CDTF">2021-11-12T17:57:00Z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