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AA29FC" w14:textId="49CBB045" w:rsidR="00BF7FB3" w:rsidRDefault="00BF7FB3" w:rsidP="00BF7FB3">
      <w:pPr>
        <w:spacing w:before="100" w:beforeAutospacing="1" w:after="100" w:afterAutospacing="1"/>
        <w:outlineLvl w:val="0"/>
        <w:rPr>
          <w:rFonts w:ascii="Arial Narrow" w:hAnsi="Arial Narrow"/>
          <w:b/>
          <w:bCs/>
          <w:kern w:val="36"/>
          <w:sz w:val="32"/>
          <w:szCs w:val="32"/>
          <w:lang w:eastAsia="fr-FR"/>
        </w:rPr>
      </w:pPr>
      <w:r w:rsidRPr="00BF7FB3">
        <w:rPr>
          <w:rFonts w:ascii="Arial Narrow" w:hAnsi="Arial Narrow"/>
          <w:b/>
          <w:bCs/>
          <w:kern w:val="36"/>
          <w:sz w:val="32"/>
          <w:szCs w:val="32"/>
          <w:lang w:eastAsia="fr-FR"/>
        </w:rPr>
        <w:t>Le barème de la CSG sur la retraite en 2019 et 2020</w:t>
      </w:r>
    </w:p>
    <w:p w14:paraId="26363583" w14:textId="486CB172" w:rsidR="00EA5B56" w:rsidRPr="00EA5B56" w:rsidRDefault="00EA5B56" w:rsidP="00BF7FB3">
      <w:pPr>
        <w:spacing w:before="100" w:beforeAutospacing="1" w:after="100" w:afterAutospacing="1"/>
        <w:outlineLvl w:val="0"/>
        <w:rPr>
          <w:rFonts w:ascii="Arial Narrow" w:hAnsi="Arial Narrow"/>
          <w:kern w:val="36"/>
          <w:sz w:val="22"/>
          <w:szCs w:val="22"/>
          <w:lang w:eastAsia="fr-FR"/>
        </w:rPr>
      </w:pPr>
      <w:hyperlink r:id="rId8" w:history="1">
        <w:r w:rsidRPr="00771B61">
          <w:rPr>
            <w:rStyle w:val="Lienhypertexte"/>
            <w:rFonts w:ascii="Arial Narrow" w:hAnsi="Arial Narrow"/>
            <w:kern w:val="36"/>
            <w:sz w:val="22"/>
            <w:szCs w:val="22"/>
            <w:lang w:eastAsia="fr-FR"/>
          </w:rPr>
          <w:t>https://www.tacotax.fr/guides/impot-sur-le-revenu/csg-crds-definition-calcul/bareme-csg-retraite-2019</w:t>
        </w:r>
      </w:hyperlink>
      <w:r>
        <w:rPr>
          <w:rFonts w:ascii="Arial Narrow" w:hAnsi="Arial Narrow"/>
          <w:kern w:val="36"/>
          <w:sz w:val="22"/>
          <w:szCs w:val="22"/>
          <w:lang w:eastAsia="fr-FR"/>
        </w:rPr>
        <w:t xml:space="preserve"> </w:t>
      </w:r>
    </w:p>
    <w:p w14:paraId="1AE82517"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Mis à jour le 20 mai 2021</w:t>
      </w:r>
    </w:p>
    <w:p w14:paraId="56E393E8"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Sommaire de l’article</w:t>
      </w:r>
    </w:p>
    <w:p w14:paraId="73AE2017" w14:textId="77777777" w:rsidR="00BF7FB3" w:rsidRPr="00BF7FB3" w:rsidRDefault="00BF7FB3" w:rsidP="00BF7FB3">
      <w:pPr>
        <w:numPr>
          <w:ilvl w:val="0"/>
          <w:numId w:val="25"/>
        </w:num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1.</w:t>
      </w:r>
      <w:hyperlink r:id="rId9" w:anchor="section1" w:history="1">
        <w:r w:rsidRPr="00BF7FB3">
          <w:rPr>
            <w:rFonts w:ascii="Arial Narrow" w:hAnsi="Arial Narrow"/>
            <w:color w:val="0000FF"/>
            <w:sz w:val="22"/>
            <w:szCs w:val="22"/>
            <w:u w:val="single"/>
            <w:lang w:eastAsia="fr-FR"/>
          </w:rPr>
          <w:t>Quel est le taux de prélèvement sur les retraites en 2019 ?</w:t>
        </w:r>
      </w:hyperlink>
    </w:p>
    <w:p w14:paraId="7A12195F" w14:textId="77777777" w:rsidR="00BF7FB3" w:rsidRPr="00BF7FB3" w:rsidRDefault="00BF7FB3" w:rsidP="00BF7FB3">
      <w:pPr>
        <w:numPr>
          <w:ilvl w:val="0"/>
          <w:numId w:val="25"/>
        </w:num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2.</w:t>
      </w:r>
      <w:hyperlink r:id="rId10" w:anchor="section2" w:history="1">
        <w:r w:rsidRPr="00BF7FB3">
          <w:rPr>
            <w:rFonts w:ascii="Arial Narrow" w:hAnsi="Arial Narrow"/>
            <w:color w:val="0000FF"/>
            <w:sz w:val="22"/>
            <w:szCs w:val="22"/>
            <w:u w:val="single"/>
            <w:lang w:eastAsia="fr-FR"/>
          </w:rPr>
          <w:t>Les changements du barème de CSG de 2019 à 2020 pour la retraite</w:t>
        </w:r>
      </w:hyperlink>
    </w:p>
    <w:p w14:paraId="23645E01" w14:textId="77777777" w:rsidR="00BF7FB3" w:rsidRPr="00BF7FB3" w:rsidRDefault="00BF7FB3" w:rsidP="00BF7FB3">
      <w:pPr>
        <w:numPr>
          <w:ilvl w:val="0"/>
          <w:numId w:val="25"/>
        </w:num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3.</w:t>
      </w:r>
      <w:hyperlink r:id="rId11" w:anchor="section3" w:history="1">
        <w:r w:rsidRPr="00BF7FB3">
          <w:rPr>
            <w:rFonts w:ascii="Arial Narrow" w:hAnsi="Arial Narrow"/>
            <w:color w:val="0000FF"/>
            <w:sz w:val="22"/>
            <w:szCs w:val="22"/>
            <w:u w:val="single"/>
            <w:lang w:eastAsia="fr-FR"/>
          </w:rPr>
          <w:t>Foire aux questions</w:t>
        </w:r>
      </w:hyperlink>
    </w:p>
    <w:p w14:paraId="5C771604"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b/>
          <w:bCs/>
          <w:sz w:val="22"/>
          <w:szCs w:val="22"/>
          <w:lang w:eastAsia="fr-FR"/>
        </w:rPr>
        <w:t xml:space="preserve">La contribution sociale généralisée (CSG) est un prélèvement visant à financer la protection sociale en France. Elle est imposée sur tous les revenus des contribuables, des salaires à la pension de retraite en passant par les allocations de chômage. En 2020, le barème de la CSG sur les pensions de retraite évolue par rapport à 2019, avec notamment l’émergence d’un nouveau taux médian. Quel est le calcul à effectuer pour connaître le montant de CSG appliqué sur sa retraite en 2019 et 2020 ? Une exonération de CSG sur la pension de retraite est-elle possible en 2019 et 2020 ? Combien coûte la CSG pour un couple de retraités en 2020 par rapport à 2020 ? Pas de panique, </w:t>
      </w:r>
      <w:proofErr w:type="spellStart"/>
      <w:r w:rsidRPr="00BF7FB3">
        <w:rPr>
          <w:rFonts w:ascii="Arial Narrow" w:hAnsi="Arial Narrow"/>
          <w:b/>
          <w:bCs/>
          <w:sz w:val="22"/>
          <w:szCs w:val="22"/>
          <w:lang w:eastAsia="fr-FR"/>
        </w:rPr>
        <w:t>Tacotax</w:t>
      </w:r>
      <w:proofErr w:type="spellEnd"/>
      <w:r w:rsidRPr="00BF7FB3">
        <w:rPr>
          <w:rFonts w:ascii="Arial Narrow" w:hAnsi="Arial Narrow"/>
          <w:b/>
          <w:bCs/>
          <w:sz w:val="22"/>
          <w:szCs w:val="22"/>
          <w:lang w:eastAsia="fr-FR"/>
        </w:rPr>
        <w:t xml:space="preserve"> vous explique !</w:t>
      </w:r>
    </w:p>
    <w:p w14:paraId="5F94867F"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Analysez gratuitement votre situation pour réduire vos impôts</w:t>
      </w:r>
    </w:p>
    <w:p w14:paraId="5FF89751"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b/>
          <w:bCs/>
          <w:sz w:val="22"/>
          <w:szCs w:val="22"/>
          <w:lang w:eastAsia="fr-FR"/>
        </w:rPr>
        <w:t xml:space="preserve">Retrouvez notre article à jour sur le </w:t>
      </w:r>
      <w:hyperlink r:id="rId12" w:history="1">
        <w:r w:rsidRPr="00BF7FB3">
          <w:rPr>
            <w:rFonts w:ascii="Arial Narrow" w:hAnsi="Arial Narrow"/>
            <w:b/>
            <w:bCs/>
            <w:color w:val="0000FF"/>
            <w:sz w:val="22"/>
            <w:szCs w:val="22"/>
            <w:lang w:eastAsia="fr-FR"/>
          </w:rPr>
          <w:t>barème de la CSG en 2021 ici</w:t>
        </w:r>
      </w:hyperlink>
      <w:r w:rsidRPr="00BF7FB3">
        <w:rPr>
          <w:rFonts w:ascii="Arial Narrow" w:hAnsi="Arial Narrow"/>
          <w:b/>
          <w:bCs/>
          <w:sz w:val="22"/>
          <w:szCs w:val="22"/>
          <w:lang w:eastAsia="fr-FR"/>
        </w:rPr>
        <w:t xml:space="preserve"> !</w:t>
      </w:r>
    </w:p>
    <w:p w14:paraId="5ED1EED1" w14:textId="77777777" w:rsidR="00BF7FB3" w:rsidRPr="00BF7FB3" w:rsidRDefault="00BF7FB3" w:rsidP="00BF7FB3">
      <w:pPr>
        <w:numPr>
          <w:ilvl w:val="0"/>
          <w:numId w:val="15"/>
        </w:numPr>
        <w:spacing w:before="100" w:beforeAutospacing="1" w:after="100" w:afterAutospacing="1"/>
        <w:ind w:left="0" w:firstLine="0"/>
        <w:outlineLvl w:val="1"/>
        <w:rPr>
          <w:rFonts w:ascii="Arial Narrow" w:hAnsi="Arial Narrow"/>
          <w:b/>
          <w:bCs/>
          <w:sz w:val="22"/>
          <w:szCs w:val="22"/>
          <w:lang w:eastAsia="fr-FR"/>
        </w:rPr>
      </w:pPr>
      <w:r w:rsidRPr="00BF7FB3">
        <w:rPr>
          <w:rFonts w:ascii="Arial Narrow" w:hAnsi="Arial Narrow"/>
          <w:b/>
          <w:bCs/>
          <w:sz w:val="22"/>
          <w:szCs w:val="22"/>
          <w:lang w:eastAsia="fr-FR"/>
        </w:rPr>
        <w:t>Quel est le taux de prélèvement sur les retraites en 2019 ?</w:t>
      </w:r>
    </w:p>
    <w:p w14:paraId="36C3B373"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Quels sont les </w:t>
      </w:r>
      <w:hyperlink r:id="rId13" w:history="1">
        <w:r w:rsidRPr="00BF7FB3">
          <w:rPr>
            <w:rFonts w:ascii="Arial Narrow" w:hAnsi="Arial Narrow"/>
            <w:b/>
            <w:bCs/>
            <w:color w:val="0000FF"/>
            <w:sz w:val="22"/>
            <w:szCs w:val="22"/>
            <w:lang w:eastAsia="fr-FR"/>
          </w:rPr>
          <w:t>taux de contribution sociale généralisée (CSG)</w:t>
        </w:r>
      </w:hyperlink>
      <w:r w:rsidRPr="00BF7FB3">
        <w:rPr>
          <w:rFonts w:ascii="Arial Narrow" w:hAnsi="Arial Narrow"/>
          <w:sz w:val="22"/>
          <w:szCs w:val="22"/>
          <w:lang w:eastAsia="fr-FR"/>
        </w:rPr>
        <w:t xml:space="preserve"> appliqués aux pensions de retraite des retraités français ? Ils dépendent en réalité principalement du </w:t>
      </w:r>
      <w:r w:rsidRPr="00BF7FB3">
        <w:rPr>
          <w:rFonts w:ascii="Arial Narrow" w:hAnsi="Arial Narrow"/>
          <w:b/>
          <w:bCs/>
          <w:sz w:val="22"/>
          <w:szCs w:val="22"/>
          <w:lang w:eastAsia="fr-FR"/>
        </w:rPr>
        <w:t>revenu fiscal de référence</w:t>
      </w:r>
      <w:r w:rsidRPr="00BF7FB3">
        <w:rPr>
          <w:rFonts w:ascii="Arial Narrow" w:hAnsi="Arial Narrow"/>
          <w:sz w:val="22"/>
          <w:szCs w:val="22"/>
          <w:lang w:eastAsia="fr-FR"/>
        </w:rPr>
        <w:t xml:space="preserve"> du foyer concerné. Retrouvez ci-dessous les taux des cotisations sociales en 2019 et 2020 :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46"/>
        <w:gridCol w:w="822"/>
        <w:gridCol w:w="712"/>
        <w:gridCol w:w="923"/>
        <w:gridCol w:w="1183"/>
        <w:gridCol w:w="712"/>
        <w:gridCol w:w="938"/>
      </w:tblGrid>
      <w:tr w:rsidR="00BF7FB3" w:rsidRPr="00BF7FB3" w14:paraId="2A5238D7" w14:textId="77777777" w:rsidTr="00BF7FB3">
        <w:trPr>
          <w:tblHeader/>
          <w:tblCellSpacing w:w="15" w:type="dxa"/>
        </w:trPr>
        <w:tc>
          <w:tcPr>
            <w:tcW w:w="0" w:type="auto"/>
            <w:vAlign w:val="center"/>
            <w:hideMark/>
          </w:tcPr>
          <w:p w14:paraId="0CC80F5C"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 </w:t>
            </w:r>
          </w:p>
        </w:tc>
        <w:tc>
          <w:tcPr>
            <w:tcW w:w="0" w:type="auto"/>
            <w:vAlign w:val="center"/>
            <w:hideMark/>
          </w:tcPr>
          <w:p w14:paraId="7201E1F5"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nul</w:t>
            </w:r>
          </w:p>
        </w:tc>
        <w:tc>
          <w:tcPr>
            <w:tcW w:w="0" w:type="auto"/>
            <w:gridSpan w:val="2"/>
            <w:vAlign w:val="center"/>
            <w:hideMark/>
          </w:tcPr>
          <w:p w14:paraId="4D467448"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réduit</w:t>
            </w:r>
          </w:p>
        </w:tc>
        <w:tc>
          <w:tcPr>
            <w:tcW w:w="0" w:type="auto"/>
            <w:vAlign w:val="center"/>
            <w:hideMark/>
          </w:tcPr>
          <w:p w14:paraId="22E7C6CC"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médian</w:t>
            </w:r>
          </w:p>
        </w:tc>
        <w:tc>
          <w:tcPr>
            <w:tcW w:w="0" w:type="auto"/>
            <w:gridSpan w:val="2"/>
            <w:vAlign w:val="center"/>
            <w:hideMark/>
          </w:tcPr>
          <w:p w14:paraId="30C25561"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plein</w:t>
            </w:r>
          </w:p>
        </w:tc>
      </w:tr>
      <w:tr w:rsidR="00BF7FB3" w:rsidRPr="00BF7FB3" w14:paraId="45BDCF54" w14:textId="77777777" w:rsidTr="00BF7FB3">
        <w:trPr>
          <w:tblCellSpacing w:w="15" w:type="dxa"/>
        </w:trPr>
        <w:tc>
          <w:tcPr>
            <w:tcW w:w="0" w:type="auto"/>
            <w:vAlign w:val="center"/>
            <w:hideMark/>
          </w:tcPr>
          <w:p w14:paraId="2F5B5856"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 </w:t>
            </w:r>
          </w:p>
        </w:tc>
        <w:tc>
          <w:tcPr>
            <w:tcW w:w="0" w:type="auto"/>
            <w:vAlign w:val="center"/>
            <w:hideMark/>
          </w:tcPr>
          <w:p w14:paraId="5E58B8FA"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 </w:t>
            </w:r>
          </w:p>
        </w:tc>
        <w:tc>
          <w:tcPr>
            <w:tcW w:w="0" w:type="auto"/>
            <w:vAlign w:val="center"/>
            <w:hideMark/>
          </w:tcPr>
          <w:p w14:paraId="0CBD3194"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Retraite</w:t>
            </w:r>
          </w:p>
        </w:tc>
        <w:tc>
          <w:tcPr>
            <w:tcW w:w="0" w:type="auto"/>
            <w:vAlign w:val="center"/>
            <w:hideMark/>
          </w:tcPr>
          <w:p w14:paraId="5123BDAD"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Préretraite</w:t>
            </w:r>
          </w:p>
        </w:tc>
        <w:tc>
          <w:tcPr>
            <w:tcW w:w="0" w:type="auto"/>
            <w:vAlign w:val="center"/>
            <w:hideMark/>
          </w:tcPr>
          <w:p w14:paraId="6330778D"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 </w:t>
            </w:r>
          </w:p>
        </w:tc>
        <w:tc>
          <w:tcPr>
            <w:tcW w:w="0" w:type="auto"/>
            <w:vAlign w:val="center"/>
            <w:hideMark/>
          </w:tcPr>
          <w:p w14:paraId="55675707"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Retraite</w:t>
            </w:r>
          </w:p>
        </w:tc>
        <w:tc>
          <w:tcPr>
            <w:tcW w:w="0" w:type="auto"/>
            <w:vAlign w:val="center"/>
            <w:hideMark/>
          </w:tcPr>
          <w:p w14:paraId="78829C94"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Préretraite</w:t>
            </w:r>
          </w:p>
        </w:tc>
      </w:tr>
      <w:tr w:rsidR="00BF7FB3" w:rsidRPr="00BF7FB3" w14:paraId="111A4F07" w14:textId="77777777" w:rsidTr="00BF7FB3">
        <w:trPr>
          <w:tblCellSpacing w:w="15" w:type="dxa"/>
        </w:trPr>
        <w:tc>
          <w:tcPr>
            <w:tcW w:w="0" w:type="auto"/>
            <w:vAlign w:val="center"/>
            <w:hideMark/>
          </w:tcPr>
          <w:p w14:paraId="1DC7A335"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Taux global CSG</w:t>
            </w:r>
          </w:p>
        </w:tc>
        <w:tc>
          <w:tcPr>
            <w:tcW w:w="0" w:type="auto"/>
            <w:vAlign w:val="center"/>
            <w:hideMark/>
          </w:tcPr>
          <w:p w14:paraId="0ECCEBFE"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0 %</w:t>
            </w:r>
          </w:p>
        </w:tc>
        <w:tc>
          <w:tcPr>
            <w:tcW w:w="0" w:type="auto"/>
            <w:vAlign w:val="center"/>
            <w:hideMark/>
          </w:tcPr>
          <w:p w14:paraId="66862A8A"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3,8 %</w:t>
            </w:r>
          </w:p>
        </w:tc>
        <w:tc>
          <w:tcPr>
            <w:tcW w:w="0" w:type="auto"/>
            <w:vAlign w:val="center"/>
            <w:hideMark/>
          </w:tcPr>
          <w:p w14:paraId="441AE3F9"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3,8 %</w:t>
            </w:r>
          </w:p>
        </w:tc>
        <w:tc>
          <w:tcPr>
            <w:tcW w:w="0" w:type="auto"/>
            <w:vAlign w:val="center"/>
            <w:hideMark/>
          </w:tcPr>
          <w:p w14:paraId="56A89A40"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6,6 %</w:t>
            </w:r>
          </w:p>
        </w:tc>
        <w:tc>
          <w:tcPr>
            <w:tcW w:w="0" w:type="auto"/>
            <w:vAlign w:val="center"/>
            <w:hideMark/>
          </w:tcPr>
          <w:p w14:paraId="1D327E71"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8,3 %</w:t>
            </w:r>
          </w:p>
        </w:tc>
        <w:tc>
          <w:tcPr>
            <w:tcW w:w="0" w:type="auto"/>
            <w:vAlign w:val="center"/>
            <w:hideMark/>
          </w:tcPr>
          <w:p w14:paraId="35296BD3"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9,20 %</w:t>
            </w:r>
          </w:p>
        </w:tc>
      </w:tr>
      <w:tr w:rsidR="00BF7FB3" w:rsidRPr="00BF7FB3" w14:paraId="553AAB83" w14:textId="77777777" w:rsidTr="00BF7FB3">
        <w:trPr>
          <w:tblCellSpacing w:w="15" w:type="dxa"/>
        </w:trPr>
        <w:tc>
          <w:tcPr>
            <w:tcW w:w="0" w:type="auto"/>
            <w:vAlign w:val="center"/>
            <w:hideMark/>
          </w:tcPr>
          <w:p w14:paraId="39567D0F"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Taux déductible de l'ISR</w:t>
            </w:r>
          </w:p>
        </w:tc>
        <w:tc>
          <w:tcPr>
            <w:tcW w:w="0" w:type="auto"/>
            <w:vAlign w:val="center"/>
            <w:hideMark/>
          </w:tcPr>
          <w:p w14:paraId="46088729"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0 %</w:t>
            </w:r>
          </w:p>
        </w:tc>
        <w:tc>
          <w:tcPr>
            <w:tcW w:w="0" w:type="auto"/>
            <w:vAlign w:val="center"/>
            <w:hideMark/>
          </w:tcPr>
          <w:p w14:paraId="5035FA26"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0 %</w:t>
            </w:r>
          </w:p>
        </w:tc>
        <w:tc>
          <w:tcPr>
            <w:tcW w:w="0" w:type="auto"/>
            <w:vAlign w:val="center"/>
            <w:hideMark/>
          </w:tcPr>
          <w:p w14:paraId="41CA5DDE"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0 %</w:t>
            </w:r>
          </w:p>
        </w:tc>
        <w:tc>
          <w:tcPr>
            <w:tcW w:w="0" w:type="auto"/>
            <w:vAlign w:val="center"/>
            <w:hideMark/>
          </w:tcPr>
          <w:p w14:paraId="0B7FF43B"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4,2 %</w:t>
            </w:r>
          </w:p>
        </w:tc>
        <w:tc>
          <w:tcPr>
            <w:tcW w:w="0" w:type="auto"/>
            <w:vAlign w:val="center"/>
            <w:hideMark/>
          </w:tcPr>
          <w:p w14:paraId="46C92219"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5,9 %</w:t>
            </w:r>
          </w:p>
        </w:tc>
        <w:tc>
          <w:tcPr>
            <w:tcW w:w="0" w:type="auto"/>
            <w:vAlign w:val="center"/>
            <w:hideMark/>
          </w:tcPr>
          <w:p w14:paraId="2D2DE86F"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6,8 %</w:t>
            </w:r>
          </w:p>
        </w:tc>
      </w:tr>
      <w:tr w:rsidR="00BF7FB3" w:rsidRPr="00BF7FB3" w14:paraId="16BA3F6E" w14:textId="77777777" w:rsidTr="00BF7FB3">
        <w:trPr>
          <w:tblCellSpacing w:w="15" w:type="dxa"/>
        </w:trPr>
        <w:tc>
          <w:tcPr>
            <w:tcW w:w="0" w:type="auto"/>
            <w:vAlign w:val="center"/>
            <w:hideMark/>
          </w:tcPr>
          <w:p w14:paraId="46D29B7A"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Taux CRDS</w:t>
            </w:r>
          </w:p>
        </w:tc>
        <w:tc>
          <w:tcPr>
            <w:tcW w:w="0" w:type="auto"/>
            <w:vAlign w:val="center"/>
            <w:hideMark/>
          </w:tcPr>
          <w:p w14:paraId="18A37DD3"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0 %</w:t>
            </w:r>
          </w:p>
        </w:tc>
        <w:tc>
          <w:tcPr>
            <w:tcW w:w="0" w:type="auto"/>
            <w:vAlign w:val="center"/>
            <w:hideMark/>
          </w:tcPr>
          <w:p w14:paraId="531ECDB6"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0,50 %</w:t>
            </w:r>
          </w:p>
        </w:tc>
        <w:tc>
          <w:tcPr>
            <w:tcW w:w="0" w:type="auto"/>
            <w:vAlign w:val="center"/>
            <w:hideMark/>
          </w:tcPr>
          <w:p w14:paraId="5FC69296"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0,50 %</w:t>
            </w:r>
          </w:p>
        </w:tc>
        <w:tc>
          <w:tcPr>
            <w:tcW w:w="0" w:type="auto"/>
            <w:vAlign w:val="center"/>
            <w:hideMark/>
          </w:tcPr>
          <w:p w14:paraId="5FF26BAB"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0,50 %</w:t>
            </w:r>
          </w:p>
        </w:tc>
        <w:tc>
          <w:tcPr>
            <w:tcW w:w="0" w:type="auto"/>
            <w:vAlign w:val="center"/>
            <w:hideMark/>
          </w:tcPr>
          <w:p w14:paraId="72195D87"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0,50 %</w:t>
            </w:r>
          </w:p>
        </w:tc>
        <w:tc>
          <w:tcPr>
            <w:tcW w:w="0" w:type="auto"/>
            <w:vAlign w:val="center"/>
            <w:hideMark/>
          </w:tcPr>
          <w:p w14:paraId="5225FF26"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0,50 %</w:t>
            </w:r>
          </w:p>
        </w:tc>
      </w:tr>
      <w:tr w:rsidR="00BF7FB3" w:rsidRPr="00BF7FB3" w14:paraId="4A78237C" w14:textId="77777777" w:rsidTr="00BF7FB3">
        <w:trPr>
          <w:tblCellSpacing w:w="15" w:type="dxa"/>
        </w:trPr>
        <w:tc>
          <w:tcPr>
            <w:tcW w:w="0" w:type="auto"/>
            <w:vAlign w:val="center"/>
            <w:hideMark/>
          </w:tcPr>
          <w:p w14:paraId="022024A6"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Taux Casa</w:t>
            </w:r>
          </w:p>
        </w:tc>
        <w:tc>
          <w:tcPr>
            <w:tcW w:w="0" w:type="auto"/>
            <w:vAlign w:val="center"/>
            <w:hideMark/>
          </w:tcPr>
          <w:p w14:paraId="262AA4EF"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0 %</w:t>
            </w:r>
          </w:p>
        </w:tc>
        <w:tc>
          <w:tcPr>
            <w:tcW w:w="0" w:type="auto"/>
            <w:vAlign w:val="center"/>
            <w:hideMark/>
          </w:tcPr>
          <w:p w14:paraId="4D063A3F"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0 %</w:t>
            </w:r>
          </w:p>
        </w:tc>
        <w:tc>
          <w:tcPr>
            <w:tcW w:w="0" w:type="auto"/>
            <w:vAlign w:val="center"/>
            <w:hideMark/>
          </w:tcPr>
          <w:p w14:paraId="02F55011"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0 %</w:t>
            </w:r>
          </w:p>
        </w:tc>
        <w:tc>
          <w:tcPr>
            <w:tcW w:w="0" w:type="auto"/>
            <w:vAlign w:val="center"/>
            <w:hideMark/>
          </w:tcPr>
          <w:p w14:paraId="180D531A"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0,30 %</w:t>
            </w:r>
          </w:p>
        </w:tc>
        <w:tc>
          <w:tcPr>
            <w:tcW w:w="0" w:type="auto"/>
            <w:vAlign w:val="center"/>
            <w:hideMark/>
          </w:tcPr>
          <w:p w14:paraId="5239C564"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0,30 %</w:t>
            </w:r>
          </w:p>
        </w:tc>
        <w:tc>
          <w:tcPr>
            <w:tcW w:w="0" w:type="auto"/>
            <w:vAlign w:val="center"/>
            <w:hideMark/>
          </w:tcPr>
          <w:p w14:paraId="0D567FF9"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0,30 %</w:t>
            </w:r>
          </w:p>
        </w:tc>
      </w:tr>
    </w:tbl>
    <w:p w14:paraId="7DF63671" w14:textId="77777777" w:rsidR="00BF7FB3" w:rsidRPr="00BF7FB3" w:rsidRDefault="00BF7FB3" w:rsidP="00BF7FB3">
      <w:pPr>
        <w:numPr>
          <w:ilvl w:val="0"/>
          <w:numId w:val="15"/>
        </w:numPr>
        <w:spacing w:before="100" w:beforeAutospacing="1" w:after="100" w:afterAutospacing="1"/>
        <w:ind w:left="0" w:firstLine="0"/>
        <w:outlineLvl w:val="2"/>
        <w:rPr>
          <w:rFonts w:ascii="Arial Narrow" w:hAnsi="Arial Narrow"/>
          <w:b/>
          <w:bCs/>
          <w:sz w:val="22"/>
          <w:szCs w:val="22"/>
          <w:lang w:eastAsia="fr-FR"/>
        </w:rPr>
      </w:pPr>
      <w:r w:rsidRPr="00BF7FB3">
        <w:rPr>
          <w:rFonts w:ascii="Arial Narrow" w:hAnsi="Arial Narrow"/>
          <w:b/>
          <w:bCs/>
          <w:sz w:val="22"/>
          <w:szCs w:val="22"/>
          <w:lang w:eastAsia="fr-FR"/>
        </w:rPr>
        <w:t>Les taux de CSG en vigueur</w:t>
      </w:r>
    </w:p>
    <w:p w14:paraId="69938A8E"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En 2019, les retraités ont dû se tourner vers leur avis d’imposition pour trouver leur </w:t>
      </w:r>
      <w:r w:rsidRPr="00BF7FB3">
        <w:rPr>
          <w:rFonts w:ascii="Arial Narrow" w:hAnsi="Arial Narrow"/>
          <w:b/>
          <w:bCs/>
          <w:sz w:val="22"/>
          <w:szCs w:val="22"/>
          <w:lang w:eastAsia="fr-FR"/>
        </w:rPr>
        <w:t xml:space="preserve">revenu fiscal de référence </w:t>
      </w:r>
      <w:r w:rsidRPr="00BF7FB3">
        <w:rPr>
          <w:rFonts w:ascii="Arial Narrow" w:hAnsi="Arial Narrow"/>
          <w:sz w:val="22"/>
          <w:szCs w:val="22"/>
          <w:lang w:eastAsia="fr-FR"/>
        </w:rPr>
        <w:t xml:space="preserve">(RFR) 2017. Ce dernier sert en effet de base au </w:t>
      </w:r>
      <w:hyperlink r:id="rId14" w:history="1">
        <w:r w:rsidRPr="00BF7FB3">
          <w:rPr>
            <w:rFonts w:ascii="Arial Narrow" w:hAnsi="Arial Narrow"/>
            <w:b/>
            <w:bCs/>
            <w:color w:val="0000FF"/>
            <w:sz w:val="22"/>
            <w:szCs w:val="22"/>
            <w:lang w:eastAsia="fr-FR"/>
          </w:rPr>
          <w:t>calcul de la CSG</w:t>
        </w:r>
      </w:hyperlink>
      <w:r w:rsidRPr="00BF7FB3">
        <w:rPr>
          <w:rFonts w:ascii="Arial Narrow" w:hAnsi="Arial Narrow"/>
          <w:sz w:val="22"/>
          <w:szCs w:val="22"/>
          <w:lang w:eastAsia="fr-FR"/>
        </w:rPr>
        <w:t xml:space="preserve"> et des autres cotisations sociales, puisqu’il va déterminer le taux applicable aux revenus : 0 %, 3,8 %, 6,6 % ou 8,3 %. </w:t>
      </w:r>
    </w:p>
    <w:p w14:paraId="5C374D04"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Sont ensuite prises en compte les </w:t>
      </w:r>
      <w:r w:rsidRPr="00BF7FB3">
        <w:rPr>
          <w:rFonts w:ascii="Arial Narrow" w:hAnsi="Arial Narrow"/>
          <w:b/>
          <w:bCs/>
          <w:sz w:val="22"/>
          <w:szCs w:val="22"/>
          <w:lang w:eastAsia="fr-FR"/>
        </w:rPr>
        <w:t>parts fiscales</w:t>
      </w:r>
      <w:r w:rsidRPr="00BF7FB3">
        <w:rPr>
          <w:rFonts w:ascii="Arial Narrow" w:hAnsi="Arial Narrow"/>
          <w:sz w:val="22"/>
          <w:szCs w:val="22"/>
          <w:lang w:eastAsia="fr-FR"/>
        </w:rPr>
        <w:t xml:space="preserve"> au sein du foyer, qui composent le</w:t>
      </w:r>
      <w:r w:rsidRPr="00BF7FB3">
        <w:rPr>
          <w:rFonts w:ascii="Arial Narrow" w:hAnsi="Arial Narrow"/>
          <w:b/>
          <w:bCs/>
          <w:sz w:val="22"/>
          <w:szCs w:val="22"/>
          <w:lang w:eastAsia="fr-FR"/>
        </w:rPr>
        <w:t xml:space="preserve"> quotient familial</w:t>
      </w:r>
      <w:r w:rsidRPr="00BF7FB3">
        <w:rPr>
          <w:rFonts w:ascii="Arial Narrow" w:hAnsi="Arial Narrow"/>
          <w:sz w:val="22"/>
          <w:szCs w:val="22"/>
          <w:lang w:eastAsia="fr-FR"/>
        </w:rPr>
        <w:t>. Une personne égalant une part fiscale, un couple représente deux parts fiscales. Les personnes à charge (les enfants notamment) représentent quant à eux une demi-part fiscale. </w:t>
      </w:r>
    </w:p>
    <w:p w14:paraId="50926DB7"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Le RFR de l’avant-dernière année et le quotient familial servent ainsi à l’administration fiscale à déterminer quel </w:t>
      </w:r>
      <w:r w:rsidRPr="00BF7FB3">
        <w:rPr>
          <w:rFonts w:ascii="Arial Narrow" w:hAnsi="Arial Narrow"/>
          <w:b/>
          <w:bCs/>
          <w:sz w:val="22"/>
          <w:szCs w:val="22"/>
          <w:lang w:eastAsia="fr-FR"/>
        </w:rPr>
        <w:t>taux de prélèvement</w:t>
      </w:r>
      <w:r w:rsidRPr="00BF7FB3">
        <w:rPr>
          <w:rFonts w:ascii="Arial Narrow" w:hAnsi="Arial Narrow"/>
          <w:sz w:val="22"/>
          <w:szCs w:val="22"/>
          <w:lang w:eastAsia="fr-FR"/>
        </w:rPr>
        <w:t xml:space="preserve"> sera appliqué aux pensions de retraite du foyer concerné. </w:t>
      </w:r>
    </w:p>
    <w:p w14:paraId="1C87E877"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w:t>
      </w:r>
      <w:r w:rsidRPr="00BF7FB3">
        <w:rPr>
          <w:rFonts w:ascii="Arial Narrow" w:hAnsi="Arial Narrow"/>
          <w:b/>
          <w:bCs/>
          <w:sz w:val="22"/>
          <w:szCs w:val="22"/>
          <w:lang w:eastAsia="fr-FR"/>
        </w:rPr>
        <w:t xml:space="preserve">Lire aussi : </w:t>
      </w:r>
      <w:hyperlink r:id="rId15" w:history="1">
        <w:r w:rsidRPr="00BF7FB3">
          <w:rPr>
            <w:rFonts w:ascii="Arial Narrow" w:hAnsi="Arial Narrow"/>
            <w:b/>
            <w:bCs/>
            <w:color w:val="0000FF"/>
            <w:sz w:val="22"/>
            <w:szCs w:val="22"/>
            <w:lang w:eastAsia="fr-FR"/>
          </w:rPr>
          <w:t>L'exonération de CSG sur la retraite en 2019 et 2020</w:t>
        </w:r>
      </w:hyperlink>
    </w:p>
    <w:p w14:paraId="24EDCEAF" w14:textId="77777777" w:rsidR="00BF7FB3" w:rsidRPr="00BF7FB3" w:rsidRDefault="00BF7FB3" w:rsidP="00BF7FB3">
      <w:pPr>
        <w:numPr>
          <w:ilvl w:val="0"/>
          <w:numId w:val="15"/>
        </w:numPr>
        <w:spacing w:before="100" w:beforeAutospacing="1" w:after="100" w:afterAutospacing="1"/>
        <w:ind w:left="0" w:firstLine="0"/>
        <w:outlineLvl w:val="2"/>
        <w:rPr>
          <w:rFonts w:ascii="Arial Narrow" w:hAnsi="Arial Narrow"/>
          <w:b/>
          <w:bCs/>
          <w:sz w:val="22"/>
          <w:szCs w:val="22"/>
          <w:lang w:eastAsia="fr-FR"/>
        </w:rPr>
      </w:pPr>
      <w:r w:rsidRPr="00BF7FB3">
        <w:rPr>
          <w:rFonts w:ascii="Arial Narrow" w:hAnsi="Arial Narrow"/>
          <w:b/>
          <w:bCs/>
          <w:sz w:val="22"/>
          <w:szCs w:val="22"/>
          <w:lang w:eastAsia="fr-FR"/>
        </w:rPr>
        <w:lastRenderedPageBreak/>
        <w:t>Le barème de CSG en 2019</w:t>
      </w:r>
    </w:p>
    <w:p w14:paraId="521EE4EB"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Les </w:t>
      </w:r>
      <w:hyperlink r:id="rId16" w:history="1">
        <w:r w:rsidRPr="00BF7FB3">
          <w:rPr>
            <w:rFonts w:ascii="Arial Narrow" w:hAnsi="Arial Narrow"/>
            <w:b/>
            <w:bCs/>
            <w:color w:val="0000FF"/>
            <w:sz w:val="22"/>
            <w:szCs w:val="22"/>
            <w:lang w:eastAsia="fr-FR"/>
          </w:rPr>
          <w:t>taux de CSG appliqués</w:t>
        </w:r>
      </w:hyperlink>
      <w:r w:rsidRPr="00BF7FB3">
        <w:rPr>
          <w:rFonts w:ascii="Arial Narrow" w:hAnsi="Arial Narrow"/>
          <w:sz w:val="22"/>
          <w:szCs w:val="22"/>
          <w:lang w:eastAsia="fr-FR"/>
        </w:rPr>
        <w:t xml:space="preserve"> aux pensions de retraite en 2019 ne sont pas les mêmes pour un couple que pour une personne seule, dans le sens où c’est l’ensemble des revenus du couple qui sera imposable, et non les revenus de chacun des membres du couple. </w:t>
      </w:r>
    </w:p>
    <w:p w14:paraId="0640E0F1"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Découvrez ci-dessous le tableau du </w:t>
      </w:r>
      <w:r w:rsidRPr="00BF7FB3">
        <w:rPr>
          <w:rFonts w:ascii="Arial Narrow" w:hAnsi="Arial Narrow"/>
          <w:b/>
          <w:bCs/>
          <w:sz w:val="22"/>
          <w:szCs w:val="22"/>
          <w:lang w:eastAsia="fr-FR"/>
        </w:rPr>
        <w:t>barème de la CSG en 2019</w:t>
      </w:r>
      <w:r w:rsidRPr="00BF7FB3">
        <w:rPr>
          <w:rFonts w:ascii="Arial Narrow" w:hAnsi="Arial Narrow"/>
          <w:sz w:val="22"/>
          <w:szCs w:val="22"/>
          <w:lang w:eastAsia="fr-FR"/>
        </w:rPr>
        <w:t xml:space="preserve"> sur les pensions de retraite en fonction quotient familial (personne seule ou couple) et du RFR 2017 :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991"/>
        <w:gridCol w:w="1044"/>
        <w:gridCol w:w="1685"/>
        <w:gridCol w:w="1815"/>
        <w:gridCol w:w="1619"/>
      </w:tblGrid>
      <w:tr w:rsidR="00BF7FB3" w:rsidRPr="00BF7FB3" w14:paraId="76457E25" w14:textId="77777777" w:rsidTr="00BF7FB3">
        <w:trPr>
          <w:tblHeader/>
          <w:tblCellSpacing w:w="15" w:type="dxa"/>
        </w:trPr>
        <w:tc>
          <w:tcPr>
            <w:tcW w:w="0" w:type="auto"/>
            <w:vAlign w:val="center"/>
            <w:hideMark/>
          </w:tcPr>
          <w:p w14:paraId="020241AA"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Foyer</w:t>
            </w:r>
          </w:p>
        </w:tc>
        <w:tc>
          <w:tcPr>
            <w:tcW w:w="0" w:type="auto"/>
            <w:vAlign w:val="center"/>
            <w:hideMark/>
          </w:tcPr>
          <w:p w14:paraId="2B9DCE82"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zéro</w:t>
            </w:r>
          </w:p>
        </w:tc>
        <w:tc>
          <w:tcPr>
            <w:tcW w:w="0" w:type="auto"/>
            <w:vAlign w:val="center"/>
            <w:hideMark/>
          </w:tcPr>
          <w:p w14:paraId="60080A19"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réduit (3,8 %)</w:t>
            </w:r>
          </w:p>
        </w:tc>
        <w:tc>
          <w:tcPr>
            <w:tcW w:w="0" w:type="auto"/>
            <w:vAlign w:val="center"/>
            <w:hideMark/>
          </w:tcPr>
          <w:p w14:paraId="2F784CC1"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médian (6,6 %)</w:t>
            </w:r>
          </w:p>
        </w:tc>
        <w:tc>
          <w:tcPr>
            <w:tcW w:w="0" w:type="auto"/>
            <w:vAlign w:val="center"/>
            <w:hideMark/>
          </w:tcPr>
          <w:p w14:paraId="352562A1"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plein (8,3 %)</w:t>
            </w:r>
          </w:p>
        </w:tc>
      </w:tr>
      <w:tr w:rsidR="00BF7FB3" w:rsidRPr="00BF7FB3" w14:paraId="7E0A4577" w14:textId="77777777" w:rsidTr="00BF7FB3">
        <w:trPr>
          <w:tblCellSpacing w:w="15" w:type="dxa"/>
        </w:trPr>
        <w:tc>
          <w:tcPr>
            <w:tcW w:w="0" w:type="auto"/>
            <w:vAlign w:val="center"/>
            <w:hideMark/>
          </w:tcPr>
          <w:p w14:paraId="63055277"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Personne seule</w:t>
            </w:r>
          </w:p>
        </w:tc>
        <w:tc>
          <w:tcPr>
            <w:tcW w:w="0" w:type="auto"/>
            <w:vAlign w:val="center"/>
            <w:hideMark/>
          </w:tcPr>
          <w:p w14:paraId="5E399757"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1 - 11 128 €</w:t>
            </w:r>
          </w:p>
        </w:tc>
        <w:tc>
          <w:tcPr>
            <w:tcW w:w="0" w:type="auto"/>
            <w:vAlign w:val="center"/>
            <w:hideMark/>
          </w:tcPr>
          <w:p w14:paraId="626FC4F6"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11 129 - 14 548 €</w:t>
            </w:r>
          </w:p>
        </w:tc>
        <w:tc>
          <w:tcPr>
            <w:tcW w:w="0" w:type="auto"/>
            <w:vAlign w:val="center"/>
            <w:hideMark/>
          </w:tcPr>
          <w:p w14:paraId="74E401D5"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14 549 - 22 580 €</w:t>
            </w:r>
          </w:p>
        </w:tc>
        <w:tc>
          <w:tcPr>
            <w:tcW w:w="0" w:type="auto"/>
            <w:vAlign w:val="center"/>
            <w:hideMark/>
          </w:tcPr>
          <w:p w14:paraId="6A273ADE"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 de 22 580 €</w:t>
            </w:r>
          </w:p>
        </w:tc>
      </w:tr>
      <w:tr w:rsidR="00BF7FB3" w:rsidRPr="00BF7FB3" w14:paraId="3E687EA4" w14:textId="77777777" w:rsidTr="00BF7FB3">
        <w:trPr>
          <w:tblCellSpacing w:w="15" w:type="dxa"/>
        </w:trPr>
        <w:tc>
          <w:tcPr>
            <w:tcW w:w="0" w:type="auto"/>
            <w:vAlign w:val="center"/>
            <w:hideMark/>
          </w:tcPr>
          <w:p w14:paraId="6B17D8DE"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Couple</w:t>
            </w:r>
          </w:p>
        </w:tc>
        <w:tc>
          <w:tcPr>
            <w:tcW w:w="0" w:type="auto"/>
            <w:vAlign w:val="center"/>
            <w:hideMark/>
          </w:tcPr>
          <w:p w14:paraId="0CE7B98F"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1 - 17 070 €</w:t>
            </w:r>
          </w:p>
        </w:tc>
        <w:tc>
          <w:tcPr>
            <w:tcW w:w="0" w:type="auto"/>
            <w:vAlign w:val="center"/>
            <w:hideMark/>
          </w:tcPr>
          <w:p w14:paraId="30C64EA2"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17 071 - 22 316 €</w:t>
            </w:r>
          </w:p>
        </w:tc>
        <w:tc>
          <w:tcPr>
            <w:tcW w:w="0" w:type="auto"/>
            <w:vAlign w:val="center"/>
            <w:hideMark/>
          </w:tcPr>
          <w:p w14:paraId="42C372B8"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22 317 - 34 636 €</w:t>
            </w:r>
          </w:p>
        </w:tc>
        <w:tc>
          <w:tcPr>
            <w:tcW w:w="0" w:type="auto"/>
            <w:vAlign w:val="center"/>
            <w:hideMark/>
          </w:tcPr>
          <w:p w14:paraId="5F14DCD3"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 de 34 636 €</w:t>
            </w:r>
          </w:p>
        </w:tc>
      </w:tr>
      <w:tr w:rsidR="00BF7FB3" w:rsidRPr="00BF7FB3" w14:paraId="7E6B2E74" w14:textId="77777777" w:rsidTr="00BF7FB3">
        <w:trPr>
          <w:tblCellSpacing w:w="15" w:type="dxa"/>
        </w:trPr>
        <w:tc>
          <w:tcPr>
            <w:tcW w:w="0" w:type="auto"/>
            <w:vAlign w:val="center"/>
            <w:hideMark/>
          </w:tcPr>
          <w:p w14:paraId="49CF3A4F"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1/2 part supplémentaire</w:t>
            </w:r>
          </w:p>
        </w:tc>
        <w:tc>
          <w:tcPr>
            <w:tcW w:w="0" w:type="auto"/>
            <w:vAlign w:val="center"/>
            <w:hideMark/>
          </w:tcPr>
          <w:p w14:paraId="2DFCD5A5"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2 971 €</w:t>
            </w:r>
          </w:p>
        </w:tc>
        <w:tc>
          <w:tcPr>
            <w:tcW w:w="0" w:type="auto"/>
            <w:vAlign w:val="center"/>
            <w:hideMark/>
          </w:tcPr>
          <w:p w14:paraId="579CF8D3"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3 884 €</w:t>
            </w:r>
          </w:p>
        </w:tc>
        <w:tc>
          <w:tcPr>
            <w:tcW w:w="0" w:type="auto"/>
            <w:vAlign w:val="center"/>
            <w:hideMark/>
          </w:tcPr>
          <w:p w14:paraId="3C02A758"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6 028 €</w:t>
            </w:r>
          </w:p>
        </w:tc>
        <w:tc>
          <w:tcPr>
            <w:tcW w:w="0" w:type="auto"/>
            <w:vAlign w:val="center"/>
            <w:hideMark/>
          </w:tcPr>
          <w:p w14:paraId="4CDABC00" w14:textId="77777777" w:rsidR="00BF7FB3" w:rsidRPr="00BF7FB3" w:rsidRDefault="00BF7FB3" w:rsidP="00BF7FB3">
            <w:pPr>
              <w:spacing w:before="0"/>
              <w:rPr>
                <w:rFonts w:ascii="Arial Narrow" w:hAnsi="Arial Narrow"/>
                <w:sz w:val="22"/>
                <w:szCs w:val="22"/>
                <w:lang w:eastAsia="fr-FR"/>
              </w:rPr>
            </w:pPr>
            <w:r w:rsidRPr="00BF7FB3">
              <w:rPr>
                <w:rFonts w:ascii="Arial Narrow" w:hAnsi="Arial Narrow"/>
                <w:sz w:val="22"/>
                <w:szCs w:val="22"/>
                <w:lang w:eastAsia="fr-FR"/>
              </w:rPr>
              <w:t>6 028 €</w:t>
            </w:r>
          </w:p>
        </w:tc>
      </w:tr>
    </w:tbl>
    <w:p w14:paraId="70E20BE7"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Une </w:t>
      </w:r>
      <w:r w:rsidRPr="00BF7FB3">
        <w:rPr>
          <w:rFonts w:ascii="Arial Narrow" w:hAnsi="Arial Narrow"/>
          <w:b/>
          <w:bCs/>
          <w:sz w:val="22"/>
          <w:szCs w:val="22"/>
          <w:lang w:eastAsia="fr-FR"/>
        </w:rPr>
        <w:t>CSG au taux zéro</w:t>
      </w:r>
      <w:r w:rsidRPr="00BF7FB3">
        <w:rPr>
          <w:rFonts w:ascii="Arial Narrow" w:hAnsi="Arial Narrow"/>
          <w:sz w:val="22"/>
          <w:szCs w:val="22"/>
          <w:lang w:eastAsia="fr-FR"/>
        </w:rPr>
        <w:t xml:space="preserve"> correspond donc à une exonération totale de ces </w:t>
      </w:r>
      <w:hyperlink r:id="rId17" w:history="1">
        <w:r w:rsidRPr="00BF7FB3">
          <w:rPr>
            <w:rFonts w:ascii="Arial Narrow" w:hAnsi="Arial Narrow"/>
            <w:b/>
            <w:bCs/>
            <w:color w:val="0000FF"/>
            <w:sz w:val="22"/>
            <w:szCs w:val="22"/>
            <w:lang w:eastAsia="fr-FR"/>
          </w:rPr>
          <w:t>prélèvements sociaux</w:t>
        </w:r>
      </w:hyperlink>
      <w:r w:rsidRPr="00BF7FB3">
        <w:rPr>
          <w:rFonts w:ascii="Arial Narrow" w:hAnsi="Arial Narrow"/>
          <w:sz w:val="22"/>
          <w:szCs w:val="22"/>
          <w:lang w:eastAsia="fr-FR"/>
        </w:rPr>
        <w:t>, du fait du revenu de référence bas. Le prélèvement à la source de cet impôt ne concerne donc pas les foyers dont les revenus ne dépassent pas ces seuils fixés par l’administration fiscale. À l’inverse, le taux appliqué de 8,3 % est le taux plein, qui concerne les foyers suffisamment aisés pour être prélevé à ce taux. </w:t>
      </w:r>
    </w:p>
    <w:p w14:paraId="2AEF8F2F"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Pour plus d’informations sur les </w:t>
      </w:r>
      <w:hyperlink r:id="rId18" w:history="1">
        <w:r w:rsidRPr="00BF7FB3">
          <w:rPr>
            <w:rFonts w:ascii="Arial Narrow" w:hAnsi="Arial Narrow"/>
            <w:b/>
            <w:bCs/>
            <w:color w:val="0000FF"/>
            <w:sz w:val="22"/>
            <w:szCs w:val="22"/>
            <w:lang w:eastAsia="fr-FR"/>
          </w:rPr>
          <w:t>taux de CSG sur la pension de retraite</w:t>
        </w:r>
      </w:hyperlink>
      <w:r w:rsidRPr="00BF7FB3">
        <w:rPr>
          <w:rFonts w:ascii="Arial Narrow" w:hAnsi="Arial Narrow"/>
          <w:sz w:val="22"/>
          <w:szCs w:val="22"/>
          <w:lang w:eastAsia="fr-FR"/>
        </w:rPr>
        <w:t xml:space="preserve"> en 2019, rendez-vous sur le </w:t>
      </w:r>
      <w:hyperlink r:id="rId19" w:history="1">
        <w:r w:rsidRPr="00BF7FB3">
          <w:rPr>
            <w:rFonts w:ascii="Arial Narrow" w:hAnsi="Arial Narrow"/>
            <w:b/>
            <w:bCs/>
            <w:color w:val="0000FF"/>
            <w:sz w:val="22"/>
            <w:szCs w:val="22"/>
            <w:u w:val="single"/>
            <w:lang w:eastAsia="fr-FR"/>
          </w:rPr>
          <w:t>site</w:t>
        </w:r>
      </w:hyperlink>
      <w:r w:rsidRPr="00BF7FB3">
        <w:rPr>
          <w:rFonts w:ascii="Arial Narrow" w:hAnsi="Arial Narrow"/>
          <w:sz w:val="22"/>
          <w:szCs w:val="22"/>
          <w:lang w:eastAsia="fr-FR"/>
        </w:rPr>
        <w:t xml:space="preserve"> du service public. </w:t>
      </w:r>
    </w:p>
    <w:p w14:paraId="4354D810" w14:textId="77777777" w:rsidR="00BF7FB3" w:rsidRPr="00BF7FB3" w:rsidRDefault="00BF7FB3" w:rsidP="00BF7FB3">
      <w:pPr>
        <w:numPr>
          <w:ilvl w:val="0"/>
          <w:numId w:val="15"/>
        </w:numPr>
        <w:spacing w:before="100" w:beforeAutospacing="1" w:after="100" w:afterAutospacing="1"/>
        <w:ind w:left="0" w:firstLine="0"/>
        <w:outlineLvl w:val="2"/>
        <w:rPr>
          <w:rFonts w:ascii="Arial Narrow" w:hAnsi="Arial Narrow"/>
          <w:b/>
          <w:bCs/>
          <w:sz w:val="22"/>
          <w:szCs w:val="22"/>
          <w:lang w:eastAsia="fr-FR"/>
        </w:rPr>
      </w:pPr>
      <w:r w:rsidRPr="00BF7FB3">
        <w:rPr>
          <w:rFonts w:ascii="Arial Narrow" w:hAnsi="Arial Narrow"/>
          <w:b/>
          <w:bCs/>
          <w:sz w:val="22"/>
          <w:szCs w:val="22"/>
          <w:lang w:eastAsia="fr-FR"/>
        </w:rPr>
        <w:t>Exonération de CSG pour les retraités</w:t>
      </w:r>
    </w:p>
    <w:p w14:paraId="28F1BD6C"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Outre la possibilité d’avoir un taux zéro de CSG, les personnes retraitées peuvent également être </w:t>
      </w:r>
      <w:r w:rsidRPr="00BF7FB3">
        <w:rPr>
          <w:rFonts w:ascii="Arial Narrow" w:hAnsi="Arial Narrow"/>
          <w:b/>
          <w:bCs/>
          <w:sz w:val="22"/>
          <w:szCs w:val="22"/>
          <w:lang w:eastAsia="fr-FR"/>
        </w:rPr>
        <w:t>exonérées de prélèvements sociaux</w:t>
      </w:r>
      <w:r w:rsidRPr="00BF7FB3">
        <w:rPr>
          <w:rFonts w:ascii="Arial Narrow" w:hAnsi="Arial Narrow"/>
          <w:sz w:val="22"/>
          <w:szCs w:val="22"/>
          <w:lang w:eastAsia="fr-FR"/>
        </w:rPr>
        <w:t xml:space="preserve"> dans certaines situations, comme indiqué ci-après :</w:t>
      </w:r>
    </w:p>
    <w:p w14:paraId="5CFCA961" w14:textId="77777777" w:rsidR="00BF7FB3" w:rsidRPr="00BF7FB3" w:rsidRDefault="00BF7FB3" w:rsidP="00BF7FB3">
      <w:pPr>
        <w:numPr>
          <w:ilvl w:val="0"/>
          <w:numId w:val="26"/>
        </w:num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La personne bénéficie d’un versement d’une pension militaire d’invalidité, de victime de guerre, de retraite du combattant ou de pension temporaire d’orphelin, </w:t>
      </w:r>
    </w:p>
    <w:p w14:paraId="63FAE393" w14:textId="77777777" w:rsidR="00BF7FB3" w:rsidRPr="00BF7FB3" w:rsidRDefault="00BF7FB3" w:rsidP="00BF7FB3">
      <w:pPr>
        <w:numPr>
          <w:ilvl w:val="0"/>
          <w:numId w:val="26"/>
        </w:num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La personne bénéficie de rentes viagères, de capitaux versés aux victimes d’accidents du travail ou de maladies professionnelles,</w:t>
      </w:r>
    </w:p>
    <w:p w14:paraId="2AF9697A" w14:textId="77777777" w:rsidR="00BF7FB3" w:rsidRPr="00BF7FB3" w:rsidRDefault="00BF7FB3" w:rsidP="00BF7FB3">
      <w:pPr>
        <w:numPr>
          <w:ilvl w:val="0"/>
          <w:numId w:val="26"/>
        </w:num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La personne bénéficie d’un versement d’une allocation d’assurance veuvage.</w:t>
      </w:r>
    </w:p>
    <w:p w14:paraId="3D503673"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Le plafond de RFR pour une exonération de CSG et de CRDS sur sa </w:t>
      </w:r>
      <w:hyperlink r:id="rId20" w:history="1">
        <w:r w:rsidRPr="00BF7FB3">
          <w:rPr>
            <w:rFonts w:ascii="Arial Narrow" w:hAnsi="Arial Narrow"/>
            <w:b/>
            <w:bCs/>
            <w:color w:val="0000FF"/>
            <w:sz w:val="22"/>
            <w:szCs w:val="22"/>
            <w:lang w:eastAsia="fr-FR"/>
          </w:rPr>
          <w:t>retraite en 2019</w:t>
        </w:r>
      </w:hyperlink>
      <w:r w:rsidRPr="00BF7FB3">
        <w:rPr>
          <w:rFonts w:ascii="Arial Narrow" w:hAnsi="Arial Narrow"/>
          <w:sz w:val="22"/>
          <w:szCs w:val="22"/>
          <w:lang w:eastAsia="fr-FR"/>
        </w:rPr>
        <w:t xml:space="preserve"> est de 11 305 € pour une personne seule et de 17 343 € pour un couple en 2020. Pour les retraités aux revenus modestes, un </w:t>
      </w:r>
      <w:r w:rsidRPr="00BF7FB3">
        <w:rPr>
          <w:rFonts w:ascii="Arial Narrow" w:hAnsi="Arial Narrow"/>
          <w:b/>
          <w:bCs/>
          <w:sz w:val="22"/>
          <w:szCs w:val="22"/>
          <w:lang w:eastAsia="fr-FR"/>
        </w:rPr>
        <w:t>taux réduit de CSG</w:t>
      </w:r>
      <w:r w:rsidRPr="00BF7FB3">
        <w:rPr>
          <w:rFonts w:ascii="Arial Narrow" w:hAnsi="Arial Narrow"/>
          <w:sz w:val="22"/>
          <w:szCs w:val="22"/>
          <w:lang w:eastAsia="fr-FR"/>
        </w:rPr>
        <w:t xml:space="preserve"> pourra être mis en place en fonction du montant des retraites versées par l’Assurance retraite et potentiellement les caisses de retraite complémentaires de l’Agirc-Arrco. </w:t>
      </w:r>
    </w:p>
    <w:p w14:paraId="07044AE3"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Analysez gratuitement votre situation pour réduire vos impôts</w:t>
      </w:r>
    </w:p>
    <w:p w14:paraId="4AB9A9D3" w14:textId="77777777" w:rsidR="00BF7FB3" w:rsidRPr="00BF7FB3" w:rsidRDefault="00BF7FB3" w:rsidP="00BF7FB3">
      <w:pPr>
        <w:numPr>
          <w:ilvl w:val="0"/>
          <w:numId w:val="15"/>
        </w:numPr>
        <w:spacing w:before="100" w:beforeAutospacing="1" w:after="100" w:afterAutospacing="1"/>
        <w:ind w:left="0" w:firstLine="0"/>
        <w:outlineLvl w:val="1"/>
        <w:rPr>
          <w:rFonts w:ascii="Arial Narrow" w:hAnsi="Arial Narrow"/>
          <w:b/>
          <w:bCs/>
          <w:sz w:val="22"/>
          <w:szCs w:val="22"/>
          <w:lang w:eastAsia="fr-FR"/>
        </w:rPr>
      </w:pPr>
      <w:r w:rsidRPr="00BF7FB3">
        <w:rPr>
          <w:rFonts w:ascii="Arial Narrow" w:hAnsi="Arial Narrow"/>
          <w:b/>
          <w:bCs/>
          <w:sz w:val="22"/>
          <w:szCs w:val="22"/>
          <w:lang w:eastAsia="fr-FR"/>
        </w:rPr>
        <w:t>Les changements du barème de CSG de 2019 à 2020 pour la retraite</w:t>
      </w:r>
    </w:p>
    <w:p w14:paraId="4FB4E8CE" w14:textId="77777777" w:rsidR="00BF7FB3" w:rsidRPr="00BF7FB3" w:rsidRDefault="00BF7FB3" w:rsidP="00BF7FB3">
      <w:pPr>
        <w:numPr>
          <w:ilvl w:val="0"/>
          <w:numId w:val="15"/>
        </w:numPr>
        <w:spacing w:before="100" w:beforeAutospacing="1" w:after="100" w:afterAutospacing="1"/>
        <w:ind w:left="0" w:firstLine="0"/>
        <w:outlineLvl w:val="2"/>
        <w:rPr>
          <w:rFonts w:ascii="Arial Narrow" w:hAnsi="Arial Narrow"/>
          <w:b/>
          <w:bCs/>
          <w:sz w:val="22"/>
          <w:szCs w:val="22"/>
          <w:lang w:eastAsia="fr-FR"/>
        </w:rPr>
      </w:pPr>
      <w:r w:rsidRPr="00BF7FB3">
        <w:rPr>
          <w:rFonts w:ascii="Arial Narrow" w:hAnsi="Arial Narrow"/>
          <w:b/>
          <w:bCs/>
          <w:sz w:val="22"/>
          <w:szCs w:val="22"/>
          <w:lang w:eastAsia="fr-FR"/>
        </w:rPr>
        <w:t>La réforme de 2018</w:t>
      </w:r>
    </w:p>
    <w:p w14:paraId="6A5408EA" w14:textId="77777777" w:rsidR="00BF7FB3" w:rsidRPr="00BF7FB3" w:rsidRDefault="00BF7FB3" w:rsidP="00BF7FB3">
      <w:pPr>
        <w:spacing w:before="100" w:beforeAutospacing="1" w:after="100" w:afterAutospacing="1"/>
        <w:rPr>
          <w:rFonts w:ascii="Arial Narrow" w:hAnsi="Arial Narrow"/>
          <w:sz w:val="22"/>
          <w:szCs w:val="22"/>
          <w:lang w:eastAsia="fr-FR"/>
        </w:rPr>
      </w:pPr>
      <w:hyperlink r:id="rId21" w:history="1">
        <w:r w:rsidRPr="00BF7FB3">
          <w:rPr>
            <w:rFonts w:ascii="Arial Narrow" w:hAnsi="Arial Narrow"/>
            <w:b/>
            <w:bCs/>
            <w:color w:val="0000FF"/>
            <w:sz w:val="22"/>
            <w:szCs w:val="22"/>
            <w:lang w:eastAsia="fr-FR"/>
          </w:rPr>
          <w:t>La CSG a augmenté en 2018</w:t>
        </w:r>
      </w:hyperlink>
      <w:r w:rsidRPr="00BF7FB3">
        <w:rPr>
          <w:rFonts w:ascii="Arial Narrow" w:hAnsi="Arial Narrow"/>
          <w:sz w:val="22"/>
          <w:szCs w:val="22"/>
          <w:lang w:eastAsia="fr-FR"/>
        </w:rPr>
        <w:t xml:space="preserve"> : cette décision du gouvernement d’Emmanuel Macron a fait débat dès son application. Avec une hausse de 1,7 point, la contribution sociale généralisée aurait pu bénéficier d’une augmentation de ses recettes. Seulement, les retraités ont vivement manifesté leur désaccord avec cette mesure. Un mécontentement exacerbé par le mouvement des gilets jaunes en France, conduisant le Président de la République de promettre l’abandon de cette réforme dès le 1er janvier 2019.</w:t>
      </w:r>
    </w:p>
    <w:p w14:paraId="34E6F04B"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Mais pourquoi les retraités en particulier ? Emmanuel Macron avait annoncé la suppression des </w:t>
      </w:r>
      <w:r w:rsidRPr="00BF7FB3">
        <w:rPr>
          <w:rFonts w:ascii="Arial Narrow" w:hAnsi="Arial Narrow"/>
          <w:b/>
          <w:bCs/>
          <w:sz w:val="22"/>
          <w:szCs w:val="22"/>
          <w:lang w:eastAsia="fr-FR"/>
        </w:rPr>
        <w:t>cotisations de chômage et de maladie</w:t>
      </w:r>
      <w:r w:rsidRPr="00BF7FB3">
        <w:rPr>
          <w:rFonts w:ascii="Arial Narrow" w:hAnsi="Arial Narrow"/>
          <w:sz w:val="22"/>
          <w:szCs w:val="22"/>
          <w:lang w:eastAsia="fr-FR"/>
        </w:rPr>
        <w:t xml:space="preserve">, ajoutant aux salariés du pouvoir d’achat, afin de contrebalancer la hausse de la CSG. </w:t>
      </w:r>
      <w:r w:rsidRPr="00BF7FB3">
        <w:rPr>
          <w:rFonts w:ascii="Arial Narrow" w:hAnsi="Arial Narrow"/>
          <w:sz w:val="22"/>
          <w:szCs w:val="22"/>
          <w:lang w:eastAsia="fr-FR"/>
        </w:rPr>
        <w:lastRenderedPageBreak/>
        <w:t>Seulement, les retraités, eux, ne bénéficient pas de cette suppression, et ne pouvaient que constater une hausse de leurs impôts, mais une immobilité de leurs pensions de retraite. </w:t>
      </w:r>
    </w:p>
    <w:p w14:paraId="1A9D4DAE"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Le rétropédalage du gouvernement a donc conduit à un </w:t>
      </w:r>
      <w:hyperlink r:id="rId22" w:history="1">
        <w:r w:rsidRPr="00BF7FB3">
          <w:rPr>
            <w:rFonts w:ascii="Arial Narrow" w:hAnsi="Arial Narrow"/>
            <w:b/>
            <w:bCs/>
            <w:color w:val="0000FF"/>
            <w:sz w:val="22"/>
            <w:szCs w:val="22"/>
            <w:lang w:eastAsia="fr-FR"/>
          </w:rPr>
          <w:t>remboursement du trop-plein de CSG</w:t>
        </w:r>
      </w:hyperlink>
      <w:r w:rsidRPr="00BF7FB3">
        <w:rPr>
          <w:rFonts w:ascii="Arial Narrow" w:hAnsi="Arial Narrow"/>
          <w:sz w:val="22"/>
          <w:szCs w:val="22"/>
          <w:lang w:eastAsia="fr-FR"/>
        </w:rPr>
        <w:t xml:space="preserve"> perçu par l’administration fiscale, qui chargea alors les caisses de retraite de reverser les cotisations en trop aux foyers fiscaux de retraités concernés. Un taux médian de 6,6 % a été remis en place, qui concerne les personnes retraitées dont la pension mensuelle n’excède pas 2000 € (3000 € pour un </w:t>
      </w:r>
      <w:hyperlink r:id="rId23" w:history="1">
        <w:r w:rsidRPr="00BF7FB3">
          <w:rPr>
            <w:rFonts w:ascii="Arial Narrow" w:hAnsi="Arial Narrow"/>
            <w:b/>
            <w:bCs/>
            <w:color w:val="0000FF"/>
            <w:sz w:val="22"/>
            <w:szCs w:val="22"/>
            <w:lang w:eastAsia="fr-FR"/>
          </w:rPr>
          <w:t>couple de retraités</w:t>
        </w:r>
      </w:hyperlink>
      <w:r w:rsidRPr="00BF7FB3">
        <w:rPr>
          <w:rFonts w:ascii="Arial Narrow" w:hAnsi="Arial Narrow"/>
          <w:sz w:val="22"/>
          <w:szCs w:val="22"/>
          <w:lang w:eastAsia="fr-FR"/>
        </w:rPr>
        <w:t>). </w:t>
      </w:r>
    </w:p>
    <w:p w14:paraId="1FB9DD49" w14:textId="77777777" w:rsidR="00BF7FB3" w:rsidRPr="00BF7FB3" w:rsidRDefault="00BF7FB3" w:rsidP="00BF7FB3">
      <w:pPr>
        <w:numPr>
          <w:ilvl w:val="0"/>
          <w:numId w:val="15"/>
        </w:numPr>
        <w:spacing w:before="100" w:beforeAutospacing="1" w:after="100" w:afterAutospacing="1"/>
        <w:ind w:left="0" w:firstLine="0"/>
        <w:outlineLvl w:val="2"/>
        <w:rPr>
          <w:rFonts w:ascii="Arial Narrow" w:hAnsi="Arial Narrow"/>
          <w:b/>
          <w:bCs/>
          <w:sz w:val="22"/>
          <w:szCs w:val="22"/>
          <w:lang w:eastAsia="fr-FR"/>
        </w:rPr>
      </w:pPr>
      <w:r w:rsidRPr="00BF7FB3">
        <w:rPr>
          <w:rFonts w:ascii="Arial Narrow" w:hAnsi="Arial Narrow"/>
          <w:b/>
          <w:bCs/>
          <w:sz w:val="22"/>
          <w:szCs w:val="22"/>
          <w:lang w:eastAsia="fr-FR"/>
        </w:rPr>
        <w:t>Les taux de CSG en 2020 pour les retraités</w:t>
      </w:r>
    </w:p>
    <w:p w14:paraId="386B0187"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Le nouveau barème de CSG sur les pensions de retraite en 2020 a évolué par rapport à 2019. On note la présence de ce nouveau taux intermédiaire, tandis que les fourchettes de revenus fiscaux de référence ont été revues à la hausse.</w:t>
      </w:r>
    </w:p>
    <w:p w14:paraId="7C2660DF"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Découvrez ci-dessous le </w:t>
      </w:r>
      <w:r w:rsidRPr="00BF7FB3">
        <w:rPr>
          <w:rFonts w:ascii="Arial Narrow" w:hAnsi="Arial Narrow"/>
          <w:b/>
          <w:bCs/>
          <w:sz w:val="22"/>
          <w:szCs w:val="22"/>
          <w:lang w:eastAsia="fr-FR"/>
        </w:rPr>
        <w:t>barème de la CSG</w:t>
      </w:r>
      <w:r w:rsidRPr="00BF7FB3">
        <w:rPr>
          <w:rFonts w:ascii="Arial Narrow" w:hAnsi="Arial Narrow"/>
          <w:sz w:val="22"/>
          <w:szCs w:val="22"/>
          <w:lang w:eastAsia="fr-FR"/>
        </w:rPr>
        <w:t xml:space="preserve"> sur les pensions de retraite en 2020 (sur le RFR de 2018) : </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22"/>
        <w:gridCol w:w="1701"/>
        <w:gridCol w:w="1984"/>
        <w:gridCol w:w="1748"/>
        <w:gridCol w:w="1507"/>
      </w:tblGrid>
      <w:tr w:rsidR="00BF7FB3" w:rsidRPr="00BF7FB3" w14:paraId="2DC03BA0" w14:textId="77777777" w:rsidTr="00BF7FB3">
        <w:trPr>
          <w:tblHeader/>
          <w:tblCellSpacing w:w="15" w:type="dxa"/>
        </w:trPr>
        <w:tc>
          <w:tcPr>
            <w:tcW w:w="2077" w:type="dxa"/>
            <w:vAlign w:val="center"/>
            <w:hideMark/>
          </w:tcPr>
          <w:p w14:paraId="675F3A21"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Composition du foyer</w:t>
            </w:r>
          </w:p>
        </w:tc>
        <w:tc>
          <w:tcPr>
            <w:tcW w:w="1671" w:type="dxa"/>
            <w:vAlign w:val="center"/>
            <w:hideMark/>
          </w:tcPr>
          <w:p w14:paraId="4B45EC37"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nul (0 %)</w:t>
            </w:r>
          </w:p>
        </w:tc>
        <w:tc>
          <w:tcPr>
            <w:tcW w:w="1954" w:type="dxa"/>
            <w:vAlign w:val="center"/>
            <w:hideMark/>
          </w:tcPr>
          <w:p w14:paraId="5483C6DB"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réduit (3,8 %)</w:t>
            </w:r>
          </w:p>
        </w:tc>
        <w:tc>
          <w:tcPr>
            <w:tcW w:w="1718" w:type="dxa"/>
            <w:vAlign w:val="center"/>
            <w:hideMark/>
          </w:tcPr>
          <w:p w14:paraId="5E70A755"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Taux médian (6,6 %)</w:t>
            </w:r>
          </w:p>
        </w:tc>
        <w:tc>
          <w:tcPr>
            <w:tcW w:w="0" w:type="auto"/>
            <w:vAlign w:val="center"/>
            <w:hideMark/>
          </w:tcPr>
          <w:p w14:paraId="22D057AD" w14:textId="77777777" w:rsidR="00BF7FB3" w:rsidRPr="00BF7FB3" w:rsidRDefault="00BF7FB3" w:rsidP="00BF7FB3">
            <w:pPr>
              <w:spacing w:before="0"/>
              <w:jc w:val="center"/>
              <w:rPr>
                <w:rFonts w:ascii="Arial Narrow" w:hAnsi="Arial Narrow"/>
                <w:b/>
                <w:bCs/>
                <w:sz w:val="22"/>
                <w:szCs w:val="22"/>
                <w:lang w:eastAsia="fr-FR"/>
              </w:rPr>
            </w:pPr>
            <w:r w:rsidRPr="00BF7FB3">
              <w:rPr>
                <w:rFonts w:ascii="Arial Narrow" w:hAnsi="Arial Narrow"/>
                <w:b/>
                <w:bCs/>
                <w:sz w:val="22"/>
                <w:szCs w:val="22"/>
                <w:lang w:eastAsia="fr-FR"/>
              </w:rPr>
              <w:t>Taux plein (8,3 %)</w:t>
            </w:r>
          </w:p>
        </w:tc>
      </w:tr>
      <w:tr w:rsidR="00BF7FB3" w:rsidRPr="00BF7FB3" w14:paraId="363E43F8" w14:textId="77777777" w:rsidTr="00BF7FB3">
        <w:trPr>
          <w:tblCellSpacing w:w="15" w:type="dxa"/>
        </w:trPr>
        <w:tc>
          <w:tcPr>
            <w:tcW w:w="2077" w:type="dxa"/>
            <w:vAlign w:val="center"/>
            <w:hideMark/>
          </w:tcPr>
          <w:p w14:paraId="42BC304F"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Quotient familial</w:t>
            </w:r>
          </w:p>
        </w:tc>
        <w:tc>
          <w:tcPr>
            <w:tcW w:w="1671" w:type="dxa"/>
            <w:vAlign w:val="center"/>
            <w:hideMark/>
          </w:tcPr>
          <w:p w14:paraId="48960F9B"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RFR inférieur ou égal à</w:t>
            </w:r>
          </w:p>
        </w:tc>
        <w:tc>
          <w:tcPr>
            <w:tcW w:w="1954" w:type="dxa"/>
            <w:vAlign w:val="center"/>
            <w:hideMark/>
          </w:tcPr>
          <w:p w14:paraId="3FE17D08"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RFR</w:t>
            </w:r>
          </w:p>
        </w:tc>
        <w:tc>
          <w:tcPr>
            <w:tcW w:w="1718" w:type="dxa"/>
            <w:vAlign w:val="center"/>
            <w:hideMark/>
          </w:tcPr>
          <w:p w14:paraId="48867FEF"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RFR</w:t>
            </w:r>
          </w:p>
        </w:tc>
        <w:tc>
          <w:tcPr>
            <w:tcW w:w="0" w:type="auto"/>
            <w:vAlign w:val="center"/>
            <w:hideMark/>
          </w:tcPr>
          <w:p w14:paraId="6AE6E078"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RFR supérieur à</w:t>
            </w:r>
          </w:p>
        </w:tc>
      </w:tr>
      <w:tr w:rsidR="00BF7FB3" w:rsidRPr="00BF7FB3" w14:paraId="3661BAD9" w14:textId="77777777" w:rsidTr="00BF7FB3">
        <w:trPr>
          <w:tblCellSpacing w:w="15" w:type="dxa"/>
        </w:trPr>
        <w:tc>
          <w:tcPr>
            <w:tcW w:w="2077" w:type="dxa"/>
            <w:vAlign w:val="center"/>
            <w:hideMark/>
          </w:tcPr>
          <w:p w14:paraId="0DC25BFC"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 part fiscale</w:t>
            </w:r>
          </w:p>
        </w:tc>
        <w:tc>
          <w:tcPr>
            <w:tcW w:w="1671" w:type="dxa"/>
            <w:vAlign w:val="center"/>
            <w:hideMark/>
          </w:tcPr>
          <w:p w14:paraId="744F92AF"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11 306 €</w:t>
            </w:r>
          </w:p>
        </w:tc>
        <w:tc>
          <w:tcPr>
            <w:tcW w:w="1954" w:type="dxa"/>
            <w:vAlign w:val="center"/>
            <w:hideMark/>
          </w:tcPr>
          <w:p w14:paraId="2BBB2FFF"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11 307 € à 14 781 €</w:t>
            </w:r>
          </w:p>
        </w:tc>
        <w:tc>
          <w:tcPr>
            <w:tcW w:w="1718" w:type="dxa"/>
            <w:vAlign w:val="center"/>
            <w:hideMark/>
          </w:tcPr>
          <w:p w14:paraId="472D1D2F"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14 782 € à 22 941 €</w:t>
            </w:r>
          </w:p>
        </w:tc>
        <w:tc>
          <w:tcPr>
            <w:tcW w:w="0" w:type="auto"/>
            <w:vAlign w:val="center"/>
            <w:hideMark/>
          </w:tcPr>
          <w:p w14:paraId="28C55BDB"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22 941 €</w:t>
            </w:r>
          </w:p>
        </w:tc>
      </w:tr>
      <w:tr w:rsidR="00BF7FB3" w:rsidRPr="00BF7FB3" w14:paraId="644B9D22" w14:textId="77777777" w:rsidTr="00BF7FB3">
        <w:trPr>
          <w:tblCellSpacing w:w="15" w:type="dxa"/>
        </w:trPr>
        <w:tc>
          <w:tcPr>
            <w:tcW w:w="2077" w:type="dxa"/>
            <w:vAlign w:val="center"/>
            <w:hideMark/>
          </w:tcPr>
          <w:p w14:paraId="5E49EBF3"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1,5 part fiscale</w:t>
            </w:r>
          </w:p>
        </w:tc>
        <w:tc>
          <w:tcPr>
            <w:tcW w:w="1671" w:type="dxa"/>
            <w:vAlign w:val="center"/>
            <w:hideMark/>
          </w:tcPr>
          <w:p w14:paraId="54EDB04E"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14 325 €</w:t>
            </w:r>
          </w:p>
        </w:tc>
        <w:tc>
          <w:tcPr>
            <w:tcW w:w="1954" w:type="dxa"/>
            <w:vAlign w:val="center"/>
            <w:hideMark/>
          </w:tcPr>
          <w:p w14:paraId="3D9170CF"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14 326 € à 18 727 €</w:t>
            </w:r>
          </w:p>
        </w:tc>
        <w:tc>
          <w:tcPr>
            <w:tcW w:w="1718" w:type="dxa"/>
            <w:vAlign w:val="center"/>
            <w:hideMark/>
          </w:tcPr>
          <w:p w14:paraId="0FA19230"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18 728 € à 29 066 €</w:t>
            </w:r>
          </w:p>
        </w:tc>
        <w:tc>
          <w:tcPr>
            <w:tcW w:w="0" w:type="auto"/>
            <w:vAlign w:val="center"/>
            <w:hideMark/>
          </w:tcPr>
          <w:p w14:paraId="4471FEDF"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29 066 €</w:t>
            </w:r>
          </w:p>
        </w:tc>
      </w:tr>
      <w:tr w:rsidR="00BF7FB3" w:rsidRPr="00BF7FB3" w14:paraId="030DDD60" w14:textId="77777777" w:rsidTr="00BF7FB3">
        <w:trPr>
          <w:tblCellSpacing w:w="15" w:type="dxa"/>
        </w:trPr>
        <w:tc>
          <w:tcPr>
            <w:tcW w:w="2077" w:type="dxa"/>
            <w:vAlign w:val="center"/>
            <w:hideMark/>
          </w:tcPr>
          <w:p w14:paraId="43D7FF50"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 parts fiscales</w:t>
            </w:r>
          </w:p>
        </w:tc>
        <w:tc>
          <w:tcPr>
            <w:tcW w:w="1671" w:type="dxa"/>
            <w:vAlign w:val="center"/>
            <w:hideMark/>
          </w:tcPr>
          <w:p w14:paraId="506A715C"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17 343 €</w:t>
            </w:r>
          </w:p>
        </w:tc>
        <w:tc>
          <w:tcPr>
            <w:tcW w:w="1954" w:type="dxa"/>
            <w:vAlign w:val="center"/>
            <w:hideMark/>
          </w:tcPr>
          <w:p w14:paraId="1E8BB356"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17 344 € à 22 673 €</w:t>
            </w:r>
          </w:p>
        </w:tc>
        <w:tc>
          <w:tcPr>
            <w:tcW w:w="1718" w:type="dxa"/>
            <w:vAlign w:val="center"/>
            <w:hideMark/>
          </w:tcPr>
          <w:p w14:paraId="706BA6B5"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22 674 € à 35 190 €</w:t>
            </w:r>
          </w:p>
        </w:tc>
        <w:tc>
          <w:tcPr>
            <w:tcW w:w="0" w:type="auto"/>
            <w:vAlign w:val="center"/>
            <w:hideMark/>
          </w:tcPr>
          <w:p w14:paraId="6CE75DFE"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35 190 €</w:t>
            </w:r>
          </w:p>
        </w:tc>
      </w:tr>
      <w:tr w:rsidR="00BF7FB3" w:rsidRPr="00BF7FB3" w14:paraId="2A63DE80" w14:textId="77777777" w:rsidTr="00BF7FB3">
        <w:trPr>
          <w:tblCellSpacing w:w="15" w:type="dxa"/>
        </w:trPr>
        <w:tc>
          <w:tcPr>
            <w:tcW w:w="2077" w:type="dxa"/>
            <w:vAlign w:val="center"/>
            <w:hideMark/>
          </w:tcPr>
          <w:p w14:paraId="45F26858"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2,5 parts fiscales</w:t>
            </w:r>
          </w:p>
        </w:tc>
        <w:tc>
          <w:tcPr>
            <w:tcW w:w="1671" w:type="dxa"/>
            <w:vAlign w:val="center"/>
            <w:hideMark/>
          </w:tcPr>
          <w:p w14:paraId="7F99C1D9"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20 362 €</w:t>
            </w:r>
          </w:p>
        </w:tc>
        <w:tc>
          <w:tcPr>
            <w:tcW w:w="1954" w:type="dxa"/>
            <w:vAlign w:val="center"/>
            <w:hideMark/>
          </w:tcPr>
          <w:p w14:paraId="48AE966C"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20 363 € à 26 619 €</w:t>
            </w:r>
          </w:p>
        </w:tc>
        <w:tc>
          <w:tcPr>
            <w:tcW w:w="1718" w:type="dxa"/>
            <w:vAlign w:val="center"/>
            <w:hideMark/>
          </w:tcPr>
          <w:p w14:paraId="6CCD78FC"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26 620 € à 41 315 €</w:t>
            </w:r>
          </w:p>
        </w:tc>
        <w:tc>
          <w:tcPr>
            <w:tcW w:w="0" w:type="auto"/>
            <w:vAlign w:val="center"/>
            <w:hideMark/>
          </w:tcPr>
          <w:p w14:paraId="21A74DE4"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41 315 €</w:t>
            </w:r>
          </w:p>
        </w:tc>
      </w:tr>
      <w:tr w:rsidR="00BF7FB3" w:rsidRPr="00BF7FB3" w14:paraId="19D07DB1" w14:textId="77777777" w:rsidTr="00BF7FB3">
        <w:trPr>
          <w:tblCellSpacing w:w="15" w:type="dxa"/>
        </w:trPr>
        <w:tc>
          <w:tcPr>
            <w:tcW w:w="2077" w:type="dxa"/>
            <w:vAlign w:val="center"/>
            <w:hideMark/>
          </w:tcPr>
          <w:p w14:paraId="545B9097"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3 parts fiscales</w:t>
            </w:r>
          </w:p>
        </w:tc>
        <w:tc>
          <w:tcPr>
            <w:tcW w:w="1671" w:type="dxa"/>
            <w:vAlign w:val="center"/>
            <w:hideMark/>
          </w:tcPr>
          <w:p w14:paraId="57C6E49E"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23 380 €</w:t>
            </w:r>
          </w:p>
        </w:tc>
        <w:tc>
          <w:tcPr>
            <w:tcW w:w="1954" w:type="dxa"/>
            <w:vAlign w:val="center"/>
            <w:hideMark/>
          </w:tcPr>
          <w:p w14:paraId="043D7398"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23 381 € à 30 565 €</w:t>
            </w:r>
          </w:p>
        </w:tc>
        <w:tc>
          <w:tcPr>
            <w:tcW w:w="1718" w:type="dxa"/>
            <w:vAlign w:val="center"/>
            <w:hideMark/>
          </w:tcPr>
          <w:p w14:paraId="44883ACD"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30 566 € à 47 439 €</w:t>
            </w:r>
          </w:p>
        </w:tc>
        <w:tc>
          <w:tcPr>
            <w:tcW w:w="0" w:type="auto"/>
            <w:vAlign w:val="center"/>
            <w:hideMark/>
          </w:tcPr>
          <w:p w14:paraId="3944A73C"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47 439 €</w:t>
            </w:r>
          </w:p>
        </w:tc>
      </w:tr>
      <w:tr w:rsidR="00BF7FB3" w:rsidRPr="00BF7FB3" w14:paraId="25F6002D" w14:textId="77777777" w:rsidTr="00BF7FB3">
        <w:trPr>
          <w:tblCellSpacing w:w="15" w:type="dxa"/>
        </w:trPr>
        <w:tc>
          <w:tcPr>
            <w:tcW w:w="2077" w:type="dxa"/>
            <w:vAlign w:val="center"/>
            <w:hideMark/>
          </w:tcPr>
          <w:p w14:paraId="6E72C16B"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Par demi-part fiscale supplémentaire</w:t>
            </w:r>
          </w:p>
        </w:tc>
        <w:tc>
          <w:tcPr>
            <w:tcW w:w="1671" w:type="dxa"/>
            <w:vAlign w:val="center"/>
            <w:hideMark/>
          </w:tcPr>
          <w:p w14:paraId="43732912" w14:textId="2E5CB2CD"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3 019 €</w:t>
            </w:r>
          </w:p>
        </w:tc>
        <w:tc>
          <w:tcPr>
            <w:tcW w:w="1954" w:type="dxa"/>
            <w:vAlign w:val="center"/>
            <w:hideMark/>
          </w:tcPr>
          <w:p w14:paraId="33FB737A"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3 946 €</w:t>
            </w:r>
          </w:p>
        </w:tc>
        <w:tc>
          <w:tcPr>
            <w:tcW w:w="1718" w:type="dxa"/>
            <w:vAlign w:val="center"/>
            <w:hideMark/>
          </w:tcPr>
          <w:p w14:paraId="5089E44A"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6 124 €</w:t>
            </w:r>
          </w:p>
        </w:tc>
        <w:tc>
          <w:tcPr>
            <w:tcW w:w="0" w:type="auto"/>
            <w:vAlign w:val="center"/>
            <w:hideMark/>
          </w:tcPr>
          <w:p w14:paraId="5507C3F9" w14:textId="77777777" w:rsidR="00BF7FB3" w:rsidRPr="00BF7FB3" w:rsidRDefault="00BF7FB3" w:rsidP="00BF7FB3">
            <w:pPr>
              <w:spacing w:before="0"/>
              <w:jc w:val="center"/>
              <w:rPr>
                <w:rFonts w:ascii="Arial Narrow" w:hAnsi="Arial Narrow"/>
                <w:sz w:val="22"/>
                <w:szCs w:val="22"/>
                <w:lang w:eastAsia="fr-FR"/>
              </w:rPr>
            </w:pPr>
            <w:r w:rsidRPr="00BF7FB3">
              <w:rPr>
                <w:rFonts w:ascii="Arial Narrow" w:hAnsi="Arial Narrow"/>
                <w:sz w:val="22"/>
                <w:szCs w:val="22"/>
                <w:lang w:eastAsia="fr-FR"/>
              </w:rPr>
              <w:t>6 124 €</w:t>
            </w:r>
          </w:p>
        </w:tc>
      </w:tr>
    </w:tbl>
    <w:p w14:paraId="69717438" w14:textId="77777777" w:rsidR="00BF7FB3" w:rsidRPr="00BF7FB3" w:rsidRDefault="00BF7FB3" w:rsidP="00BF7FB3">
      <w:pPr>
        <w:spacing w:before="100" w:beforeAutospacing="1" w:after="100" w:afterAutospacing="1"/>
        <w:rPr>
          <w:rFonts w:ascii="Arial Narrow" w:hAnsi="Arial Narrow"/>
          <w:sz w:val="22"/>
          <w:szCs w:val="22"/>
          <w:lang w:eastAsia="fr-FR"/>
        </w:rPr>
      </w:pPr>
      <w:r w:rsidRPr="00BF7FB3">
        <w:rPr>
          <w:rFonts w:ascii="Arial Narrow" w:hAnsi="Arial Narrow"/>
          <w:sz w:val="22"/>
          <w:szCs w:val="22"/>
          <w:lang w:eastAsia="fr-FR"/>
        </w:rPr>
        <w:t xml:space="preserve">Le </w:t>
      </w:r>
      <w:r w:rsidRPr="00BF7FB3">
        <w:rPr>
          <w:rFonts w:ascii="Arial Narrow" w:hAnsi="Arial Narrow"/>
          <w:b/>
          <w:bCs/>
          <w:sz w:val="22"/>
          <w:szCs w:val="22"/>
          <w:lang w:eastAsia="fr-FR"/>
        </w:rPr>
        <w:t>plafond d’exonération à la CSG</w:t>
      </w:r>
      <w:r w:rsidRPr="00BF7FB3">
        <w:rPr>
          <w:rFonts w:ascii="Arial Narrow" w:hAnsi="Arial Narrow"/>
          <w:sz w:val="22"/>
          <w:szCs w:val="22"/>
          <w:lang w:eastAsia="fr-FR"/>
        </w:rPr>
        <w:t xml:space="preserve"> et à la CRDS sur les pensions de retraite augmente par rapport à 2019 : 11 306 € en 2020 contre 11 128 € en 2019 pour une personne seule. Pour un couple, c’est désormais 17 343 €.</w:t>
      </w:r>
    </w:p>
    <w:p w14:paraId="644D117A" w14:textId="77777777" w:rsidR="004603D6" w:rsidRPr="00BF7FB3" w:rsidRDefault="004603D6" w:rsidP="00D74164">
      <w:pPr>
        <w:rPr>
          <w:rFonts w:ascii="Arial Narrow" w:eastAsia="Calibri" w:hAnsi="Arial Narrow"/>
          <w:sz w:val="22"/>
          <w:szCs w:val="22"/>
        </w:rPr>
      </w:pPr>
    </w:p>
    <w:sectPr w:rsidR="004603D6" w:rsidRPr="00BF7FB3" w:rsidSect="00292C1B">
      <w:headerReference w:type="even" r:id="rId24"/>
      <w:headerReference w:type="default" r:id="rId25"/>
      <w:footerReference w:type="even" r:id="rId26"/>
      <w:footerReference w:type="default" r:id="rId27"/>
      <w:headerReference w:type="first" r:id="rId28"/>
      <w:footerReference w:type="first" r:id="rId29"/>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60720" w14:textId="77777777" w:rsidR="00602F3A" w:rsidRDefault="00602F3A" w:rsidP="00437985">
      <w:r>
        <w:separator/>
      </w:r>
    </w:p>
  </w:endnote>
  <w:endnote w:type="continuationSeparator" w:id="0">
    <w:p w14:paraId="4DDE026B" w14:textId="77777777" w:rsidR="00602F3A" w:rsidRDefault="00602F3A"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C5A8D" w14:textId="77777777"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5BD7E" w14:textId="77777777"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14:paraId="74C34C7C" w14:textId="77777777"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5B90E" w14:textId="77777777"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19FBE" w14:textId="77777777" w:rsidR="00602F3A" w:rsidRDefault="00602F3A" w:rsidP="00437985">
      <w:r>
        <w:separator/>
      </w:r>
    </w:p>
  </w:footnote>
  <w:footnote w:type="continuationSeparator" w:id="0">
    <w:p w14:paraId="6E8255D0" w14:textId="77777777" w:rsidR="00602F3A" w:rsidRDefault="00602F3A"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831FB" w14:textId="77777777"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0CA1" w14:textId="77777777"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8445A" w14:textId="77777777"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B434D3A"/>
    <w:multiLevelType w:val="multilevel"/>
    <w:tmpl w:val="E94E0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604F4C"/>
    <w:multiLevelType w:val="multilevel"/>
    <w:tmpl w:val="B0202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8"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1"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2"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3"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4"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5"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3"/>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7"/>
  </w:num>
  <w:num w:numId="13">
    <w:abstractNumId w:val="16"/>
  </w:num>
  <w:num w:numId="14">
    <w:abstractNumId w:val="20"/>
  </w:num>
  <w:num w:numId="15">
    <w:abstractNumId w:val="24"/>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6"/>
  </w:num>
  <w:num w:numId="17">
    <w:abstractNumId w:val="12"/>
  </w:num>
  <w:num w:numId="18">
    <w:abstractNumId w:val="13"/>
  </w:num>
  <w:num w:numId="19">
    <w:abstractNumId w:val="24"/>
  </w:num>
  <w:num w:numId="20">
    <w:abstractNumId w:val="25"/>
  </w:num>
  <w:num w:numId="21">
    <w:abstractNumId w:val="18"/>
  </w:num>
  <w:num w:numId="22">
    <w:abstractNumId w:val="22"/>
  </w:num>
  <w:num w:numId="23">
    <w:abstractNumId w:val="15"/>
  </w:num>
  <w:num w:numId="24">
    <w:abstractNumId w:val="19"/>
  </w:num>
  <w:num w:numId="25">
    <w:abstractNumId w:val="11"/>
  </w:num>
  <w:num w:numId="26">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FB3"/>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2F3A"/>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1B3"/>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6B"/>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373"/>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8C8"/>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950"/>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A2E"/>
    <w:rsid w:val="00B77C96"/>
    <w:rsid w:val="00B80186"/>
    <w:rsid w:val="00B80918"/>
    <w:rsid w:val="00B81662"/>
    <w:rsid w:val="00B82D20"/>
    <w:rsid w:val="00B836EA"/>
    <w:rsid w:val="00B840B9"/>
    <w:rsid w:val="00B842C9"/>
    <w:rsid w:val="00B84573"/>
    <w:rsid w:val="00B8529B"/>
    <w:rsid w:val="00B85720"/>
    <w:rsid w:val="00B85886"/>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BF7FB3"/>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4D2"/>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5B56"/>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8D7844"/>
  <w15:docId w15:val="{9680925A-0D7E-4D6F-A4EA-D3731BA91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EA5B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42771157">
      <w:bodyDiv w:val="1"/>
      <w:marLeft w:val="0"/>
      <w:marRight w:val="0"/>
      <w:marTop w:val="0"/>
      <w:marBottom w:val="0"/>
      <w:divBdr>
        <w:top w:val="none" w:sz="0" w:space="0" w:color="auto"/>
        <w:left w:val="none" w:sz="0" w:space="0" w:color="auto"/>
        <w:bottom w:val="none" w:sz="0" w:space="0" w:color="auto"/>
        <w:right w:val="none" w:sz="0" w:space="0" w:color="auto"/>
      </w:divBdr>
      <w:divsChild>
        <w:div w:id="1192305539">
          <w:marLeft w:val="0"/>
          <w:marRight w:val="0"/>
          <w:marTop w:val="0"/>
          <w:marBottom w:val="0"/>
          <w:divBdr>
            <w:top w:val="none" w:sz="0" w:space="0" w:color="auto"/>
            <w:left w:val="none" w:sz="0" w:space="0" w:color="auto"/>
            <w:bottom w:val="none" w:sz="0" w:space="0" w:color="auto"/>
            <w:right w:val="none" w:sz="0" w:space="0" w:color="auto"/>
          </w:divBdr>
          <w:divsChild>
            <w:div w:id="139159578">
              <w:marLeft w:val="0"/>
              <w:marRight w:val="0"/>
              <w:marTop w:val="0"/>
              <w:marBottom w:val="0"/>
              <w:divBdr>
                <w:top w:val="none" w:sz="0" w:space="0" w:color="auto"/>
                <w:left w:val="none" w:sz="0" w:space="0" w:color="auto"/>
                <w:bottom w:val="none" w:sz="0" w:space="0" w:color="auto"/>
                <w:right w:val="none" w:sz="0" w:space="0" w:color="auto"/>
              </w:divBdr>
            </w:div>
          </w:divsChild>
        </w:div>
        <w:div w:id="1439374018">
          <w:marLeft w:val="0"/>
          <w:marRight w:val="0"/>
          <w:marTop w:val="0"/>
          <w:marBottom w:val="0"/>
          <w:divBdr>
            <w:top w:val="none" w:sz="0" w:space="0" w:color="auto"/>
            <w:left w:val="none" w:sz="0" w:space="0" w:color="auto"/>
            <w:bottom w:val="none" w:sz="0" w:space="0" w:color="auto"/>
            <w:right w:val="none" w:sz="0" w:space="0" w:color="auto"/>
          </w:divBdr>
          <w:divsChild>
            <w:div w:id="2130390453">
              <w:marLeft w:val="0"/>
              <w:marRight w:val="0"/>
              <w:marTop w:val="0"/>
              <w:marBottom w:val="0"/>
              <w:divBdr>
                <w:top w:val="none" w:sz="0" w:space="0" w:color="auto"/>
                <w:left w:val="none" w:sz="0" w:space="0" w:color="auto"/>
                <w:bottom w:val="none" w:sz="0" w:space="0" w:color="auto"/>
                <w:right w:val="none" w:sz="0" w:space="0" w:color="auto"/>
              </w:divBdr>
              <w:divsChild>
                <w:div w:id="209115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360384">
          <w:marLeft w:val="0"/>
          <w:marRight w:val="0"/>
          <w:marTop w:val="0"/>
          <w:marBottom w:val="0"/>
          <w:divBdr>
            <w:top w:val="none" w:sz="0" w:space="0" w:color="auto"/>
            <w:left w:val="none" w:sz="0" w:space="0" w:color="auto"/>
            <w:bottom w:val="none" w:sz="0" w:space="0" w:color="auto"/>
            <w:right w:val="none" w:sz="0" w:space="0" w:color="auto"/>
          </w:divBdr>
        </w:div>
        <w:div w:id="2139712573">
          <w:marLeft w:val="0"/>
          <w:marRight w:val="0"/>
          <w:marTop w:val="0"/>
          <w:marBottom w:val="0"/>
          <w:divBdr>
            <w:top w:val="none" w:sz="0" w:space="0" w:color="auto"/>
            <w:left w:val="none" w:sz="0" w:space="0" w:color="auto"/>
            <w:bottom w:val="none" w:sz="0" w:space="0" w:color="auto"/>
            <w:right w:val="none" w:sz="0" w:space="0" w:color="auto"/>
          </w:divBdr>
        </w:div>
        <w:div w:id="1489978134">
          <w:marLeft w:val="0"/>
          <w:marRight w:val="0"/>
          <w:marTop w:val="0"/>
          <w:marBottom w:val="0"/>
          <w:divBdr>
            <w:top w:val="none" w:sz="0" w:space="0" w:color="auto"/>
            <w:left w:val="none" w:sz="0" w:space="0" w:color="auto"/>
            <w:bottom w:val="none" w:sz="0" w:space="0" w:color="auto"/>
            <w:right w:val="none" w:sz="0" w:space="0" w:color="auto"/>
          </w:divBdr>
        </w:div>
        <w:div w:id="1149319507">
          <w:marLeft w:val="0"/>
          <w:marRight w:val="0"/>
          <w:marTop w:val="0"/>
          <w:marBottom w:val="0"/>
          <w:divBdr>
            <w:top w:val="none" w:sz="0" w:space="0" w:color="auto"/>
            <w:left w:val="none" w:sz="0" w:space="0" w:color="auto"/>
            <w:bottom w:val="none" w:sz="0" w:space="0" w:color="auto"/>
            <w:right w:val="none" w:sz="0" w:space="0" w:color="auto"/>
          </w:divBdr>
        </w:div>
        <w:div w:id="1082336397">
          <w:marLeft w:val="0"/>
          <w:marRight w:val="0"/>
          <w:marTop w:val="0"/>
          <w:marBottom w:val="0"/>
          <w:divBdr>
            <w:top w:val="none" w:sz="0" w:space="0" w:color="auto"/>
            <w:left w:val="none" w:sz="0" w:space="0" w:color="auto"/>
            <w:bottom w:val="none" w:sz="0" w:space="0" w:color="auto"/>
            <w:right w:val="none" w:sz="0" w:space="0" w:color="auto"/>
          </w:divBdr>
          <w:divsChild>
            <w:div w:id="665397793">
              <w:marLeft w:val="0"/>
              <w:marRight w:val="0"/>
              <w:marTop w:val="0"/>
              <w:marBottom w:val="0"/>
              <w:divBdr>
                <w:top w:val="none" w:sz="0" w:space="0" w:color="auto"/>
                <w:left w:val="none" w:sz="0" w:space="0" w:color="auto"/>
                <w:bottom w:val="none" w:sz="0" w:space="0" w:color="auto"/>
                <w:right w:val="none" w:sz="0" w:space="0" w:color="auto"/>
              </w:divBdr>
              <w:divsChild>
                <w:div w:id="1110976085">
                  <w:marLeft w:val="0"/>
                  <w:marRight w:val="0"/>
                  <w:marTop w:val="0"/>
                  <w:marBottom w:val="0"/>
                  <w:divBdr>
                    <w:top w:val="none" w:sz="0" w:space="0" w:color="auto"/>
                    <w:left w:val="none" w:sz="0" w:space="0" w:color="auto"/>
                    <w:bottom w:val="none" w:sz="0" w:space="0" w:color="auto"/>
                    <w:right w:val="none" w:sz="0" w:space="0" w:color="auto"/>
                  </w:divBdr>
                  <w:divsChild>
                    <w:div w:id="52698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14637">
          <w:marLeft w:val="0"/>
          <w:marRight w:val="0"/>
          <w:marTop w:val="0"/>
          <w:marBottom w:val="0"/>
          <w:divBdr>
            <w:top w:val="none" w:sz="0" w:space="0" w:color="auto"/>
            <w:left w:val="none" w:sz="0" w:space="0" w:color="auto"/>
            <w:bottom w:val="none" w:sz="0" w:space="0" w:color="auto"/>
            <w:right w:val="none" w:sz="0" w:space="0" w:color="auto"/>
          </w:divBdr>
        </w:div>
      </w:divsChild>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acotax.fr/guides/impot-sur-le-revenu/csg-crds-definition-calcul/bareme-csg-retraite-2019" TargetMode="External"/><Relationship Id="rId13" Type="http://schemas.openxmlformats.org/officeDocument/2006/relationships/hyperlink" Target="https://www.tacotax.fr/guides/impot-sur-le-revenu/csg-crds-definition-calcul" TargetMode="External"/><Relationship Id="rId18" Type="http://schemas.openxmlformats.org/officeDocument/2006/relationships/hyperlink" Target="https://www.tacotax.fr/guides/impot-sur-le-revenu/csg-crds-definition-calcul/csg-retrait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tacotax.fr/guides/impot-sur-le-revenu/csg-crds-definition-calcul/pourquoi-la-csg-a-t-elle-augmente-en-2018" TargetMode="External"/><Relationship Id="rId7" Type="http://schemas.openxmlformats.org/officeDocument/2006/relationships/endnotes" Target="endnotes.xml"/><Relationship Id="rId12" Type="http://schemas.openxmlformats.org/officeDocument/2006/relationships/hyperlink" Target="https://www.tacotax.fr/guides/impot-sur-le-revenu/csg-crds-definition-calcul/bareme-csg-retraite-2021" TargetMode="External"/><Relationship Id="rId17" Type="http://schemas.openxmlformats.org/officeDocument/2006/relationships/hyperlink" Target="https://www.tacotax.fr/guides/impot-sur-le-revenu/csg-crds-definition-calcul/contributions-sociales-et-prelevements-sociau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tacotax.fr/guides/impot-sur-le-revenu/csg-crds-definition-calcul/taux-csg" TargetMode="External"/><Relationship Id="rId20" Type="http://schemas.openxmlformats.org/officeDocument/2006/relationships/hyperlink" Target="https://www.tacotax.fr/guides/impot-sur-le-revenu/csg-crds-definition-calcul/csg-retraite-2019"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acotax.fr/guides/impot-sur-le-revenu/csg-crds-definition-calcul/bareme-csg-retraite-2019"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tacotax.fr/guides/impot-sur-le-revenu/csg-crds-definition-calcul/exoneration-csg-retraite-2019" TargetMode="External"/><Relationship Id="rId23" Type="http://schemas.openxmlformats.org/officeDocument/2006/relationships/hyperlink" Target="https://www.tacotax.fr/guides/impot-sur-le-revenu/csg-crds-definition-calcul/csg-retraite-couple" TargetMode="External"/><Relationship Id="rId28" Type="http://schemas.openxmlformats.org/officeDocument/2006/relationships/header" Target="header3.xml"/><Relationship Id="rId10" Type="http://schemas.openxmlformats.org/officeDocument/2006/relationships/hyperlink" Target="https://www.tacotax.fr/guides/impot-sur-le-revenu/csg-crds-definition-calcul/bareme-csg-retraite-2019" TargetMode="External"/><Relationship Id="rId19" Type="http://schemas.openxmlformats.org/officeDocument/2006/relationships/hyperlink" Target="https://www.service-public.fr/particuliers/vosdroits/F2971"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acotax.fr/guides/impot-sur-le-revenu/csg-crds-definition-calcul/bareme-csg-retraite-2019" TargetMode="External"/><Relationship Id="rId14" Type="http://schemas.openxmlformats.org/officeDocument/2006/relationships/hyperlink" Target="https://www.tacotax.fr/guides/impot-sur-le-revenu/csg-crds-definition-calcul/csg" TargetMode="External"/><Relationship Id="rId22" Type="http://schemas.openxmlformats.org/officeDocument/2006/relationships/hyperlink" Target="https://www.tacotax.fr/guides/impot-sur-le-revenu/csg-crds-definition-calcul/remboursement-csg-retraites" TargetMode="External"/><Relationship Id="rId27" Type="http://schemas.openxmlformats.org/officeDocument/2006/relationships/footer" Target="footer2.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eleine%20AUVINET\OneDrive\Documents\Mod&#232;les%20Office%20personnalis&#233;s\model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BA9B-FD83-45EC-8D64-5044D6C98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Template>
  <TotalTime>5</TotalTime>
  <Pages>3</Pages>
  <Words>1454</Words>
  <Characters>7997</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9433</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AUVI</dc:creator>
  <cp:lastModifiedBy>Joseph AUVINET</cp:lastModifiedBy>
  <cp:revision>2</cp:revision>
  <cp:lastPrinted>2018-07-18T12:54:00Z</cp:lastPrinted>
  <dcterms:created xsi:type="dcterms:W3CDTF">2021-11-12T16:00:00Z</dcterms:created>
  <dcterms:modified xsi:type="dcterms:W3CDTF">2021-11-12T16:05:00Z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