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8FE7" w14:textId="150A11B7" w:rsidR="00924C8D" w:rsidRDefault="00924C8D" w:rsidP="007E50A3">
      <w:pPr>
        <w:pStyle w:val="Titre4"/>
        <w:spacing w:before="120" w:after="120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D9D238" wp14:editId="5EDE64DE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1346835" cy="1005205"/>
            <wp:effectExtent l="0" t="0" r="5715" b="4445"/>
            <wp:wrapSquare wrapText="largest"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005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0A3">
        <w:t>Constituer mon kit</w:t>
      </w:r>
      <w:r>
        <w:t xml:space="preserve"> juridique</w:t>
      </w:r>
    </w:p>
    <w:p w14:paraId="5F37576D" w14:textId="2DD072B2" w:rsidR="00924C8D" w:rsidRDefault="00924C8D" w:rsidP="007E50A3">
      <w:pPr>
        <w:pStyle w:val="Titre4"/>
        <w:spacing w:before="120" w:after="120"/>
        <w:jc w:val="center"/>
      </w:pPr>
      <w:r>
        <w:t>20 et 21 novembre 2021</w:t>
      </w:r>
    </w:p>
    <w:p w14:paraId="4FEFE167" w14:textId="0CA92C2E" w:rsidR="00924C8D" w:rsidRDefault="00924C8D" w:rsidP="007E50A3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78 rue de Sèvres</w:t>
      </w:r>
      <w:r w:rsidR="008159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Paris</w:t>
      </w:r>
    </w:p>
    <w:p w14:paraId="5110904A" w14:textId="77777777" w:rsidR="00815967" w:rsidRDefault="00815967" w:rsidP="007E50A3">
      <w:pPr>
        <w:spacing w:before="120" w:after="120"/>
        <w:jc w:val="center"/>
      </w:pPr>
    </w:p>
    <w:p w14:paraId="69B8A5CB" w14:textId="736D6FDF" w:rsidR="00924C8D" w:rsidRPr="00322B59" w:rsidRDefault="00924C8D" w:rsidP="00447DDB">
      <w:pPr>
        <w:pStyle w:val="listepuces30"/>
        <w:spacing w:before="240"/>
        <w:ind w:hanging="142"/>
        <w:rPr>
          <w:rFonts w:cs="Arial"/>
        </w:rPr>
      </w:pPr>
      <w:r w:rsidRPr="00C02A02">
        <w:rPr>
          <w:rStyle w:val="Titre5Car"/>
        </w:rPr>
        <w:t>Présents </w:t>
      </w:r>
      <w:r w:rsidRPr="00810F85">
        <w:rPr>
          <w:rFonts w:ascii="Arial" w:hAnsi="Arial" w:cs="Arial"/>
        </w:rPr>
        <w:t>:</w:t>
      </w:r>
      <w:r w:rsidR="0024044A" w:rsidRPr="00810F85">
        <w:rPr>
          <w:rFonts w:ascii="Arial" w:hAnsi="Arial" w:cs="Arial"/>
        </w:rPr>
        <w:t xml:space="preserve"> </w:t>
      </w:r>
      <w:r w:rsidRPr="00322B59">
        <w:rPr>
          <w:rFonts w:cs="Arial"/>
        </w:rPr>
        <w:t>Jean-Pierre MOUTON</w:t>
      </w:r>
      <w:r w:rsidR="0024044A" w:rsidRPr="00322B59">
        <w:rPr>
          <w:rFonts w:cs="Arial"/>
        </w:rPr>
        <w:t xml:space="preserve">, </w:t>
      </w:r>
      <w:r w:rsidRPr="00322B59">
        <w:rPr>
          <w:rFonts w:cs="Arial"/>
          <w:color w:val="000000"/>
        </w:rPr>
        <w:t>Joseph AUVINET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Luc GOURAUD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Blandine PAPONNEAU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Catherina HOLLAND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Agnès SEMAILLE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Geneviève MAR</w:t>
      </w:r>
      <w:r w:rsidR="00F83EE0">
        <w:rPr>
          <w:rFonts w:cs="Arial"/>
          <w:color w:val="000000"/>
        </w:rPr>
        <w:t>G</w:t>
      </w:r>
      <w:r w:rsidRPr="00322B59">
        <w:rPr>
          <w:rFonts w:cs="Arial"/>
          <w:color w:val="000000"/>
        </w:rPr>
        <w:t>UET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Maryse DUBUS-CUSSET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Christian QUINTIN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Christiane PAURD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  <w:color w:val="000000"/>
        </w:rPr>
        <w:t>François LAMY</w:t>
      </w:r>
      <w:r w:rsidR="0024044A" w:rsidRPr="00322B59">
        <w:rPr>
          <w:rFonts w:cs="Arial"/>
          <w:color w:val="000000"/>
        </w:rPr>
        <w:t>, P</w:t>
      </w:r>
      <w:r w:rsidRPr="00322B59">
        <w:rPr>
          <w:rFonts w:cs="Arial"/>
          <w:color w:val="000000"/>
        </w:rPr>
        <w:t>ierre LAMY</w:t>
      </w:r>
      <w:r w:rsidR="0024044A" w:rsidRPr="00322B59">
        <w:rPr>
          <w:rFonts w:cs="Arial"/>
          <w:color w:val="000000"/>
        </w:rPr>
        <w:t xml:space="preserve">, </w:t>
      </w:r>
      <w:r w:rsidRPr="00322B59">
        <w:rPr>
          <w:rFonts w:cs="Arial"/>
        </w:rPr>
        <w:t>Brigitte TETART</w:t>
      </w:r>
      <w:r w:rsidR="00447DDB" w:rsidRPr="00322B59">
        <w:rPr>
          <w:rFonts w:cs="Arial"/>
        </w:rPr>
        <w:t>.</w:t>
      </w:r>
    </w:p>
    <w:p w14:paraId="58CF1D07" w14:textId="599B7423" w:rsidR="00924C8D" w:rsidRPr="00C02A02" w:rsidRDefault="00924C8D" w:rsidP="00C02A02">
      <w:pPr>
        <w:pStyle w:val="Titre5"/>
        <w:rPr>
          <w:b w:val="0"/>
          <w:bCs w:val="0"/>
        </w:rPr>
      </w:pPr>
      <w:r w:rsidRPr="00810F85">
        <w:rPr>
          <w:u w:val="single"/>
        </w:rPr>
        <w:t>Excusés</w:t>
      </w:r>
      <w:r w:rsidRPr="00810F85">
        <w:t> </w:t>
      </w:r>
      <w:r w:rsidRPr="00C02A02">
        <w:rPr>
          <w:b w:val="0"/>
          <w:bCs w:val="0"/>
        </w:rPr>
        <w:t>: Alain GAUTHIER</w:t>
      </w:r>
      <w:r w:rsidR="00447DDB" w:rsidRPr="00C02A02">
        <w:rPr>
          <w:b w:val="0"/>
          <w:bCs w:val="0"/>
        </w:rPr>
        <w:t>, Isabelle GIGNOUX, Michel NEBOUT, Éric MOLINA, Jean Louis WATHY, Séverine DUBOIS</w:t>
      </w:r>
      <w:r w:rsidR="00C4065B" w:rsidRPr="00C02A02">
        <w:rPr>
          <w:b w:val="0"/>
          <w:bCs w:val="0"/>
        </w:rPr>
        <w:t>, Franck DESCOMBAS.</w:t>
      </w:r>
      <w:r w:rsidRPr="00C02A02">
        <w:rPr>
          <w:b w:val="0"/>
          <w:bCs w:val="0"/>
          <w:color w:val="000000"/>
        </w:rPr>
        <w:t xml:space="preserve"> </w:t>
      </w:r>
    </w:p>
    <w:p w14:paraId="5C103ED4" w14:textId="4702C582" w:rsidR="00924C8D" w:rsidRPr="00322B59" w:rsidRDefault="00924C8D" w:rsidP="00C4065B">
      <w:pPr>
        <w:spacing w:before="240"/>
        <w:rPr>
          <w:rFonts w:ascii="Arial Narrow" w:hAnsi="Arial Narrow" w:cs="Arial"/>
        </w:rPr>
      </w:pPr>
      <w:r w:rsidRPr="00322B59">
        <w:rPr>
          <w:rStyle w:val="Titre4Car"/>
          <w:rFonts w:cs="Arial"/>
        </w:rPr>
        <w:t>Introduction</w:t>
      </w:r>
    </w:p>
    <w:p w14:paraId="147AEDA4" w14:textId="089F2BD0" w:rsidR="00810F85" w:rsidRPr="00C02A02" w:rsidRDefault="00810F85" w:rsidP="00322B59">
      <w:pPr>
        <w:pStyle w:val="Paragraphe12"/>
      </w:pPr>
      <w:r w:rsidRPr="00322B59">
        <w:t>D’une part, l</w:t>
      </w:r>
      <w:r w:rsidR="00924C8D" w:rsidRPr="00322B59">
        <w:t>’équipe juridique de l’APRC s’est rétrécie</w:t>
      </w:r>
      <w:r w:rsidRPr="00322B59">
        <w:t>, d’autre part, des questions nouvelles sont apparues : nombre important de trimestres omis, préjudices liés à l’emprise. Il est donc nécessaire d’élargir l’équipe et d’envisager de nouvelles</w:t>
      </w:r>
      <w:r w:rsidRPr="00C02A02">
        <w:t xml:space="preserve"> manières de fo</w:t>
      </w:r>
      <w:r w:rsidR="00D744B2" w:rsidRPr="00C02A02">
        <w:t>nctionner.</w:t>
      </w:r>
    </w:p>
    <w:p w14:paraId="105C4B09" w14:textId="77777777" w:rsidR="00924C8D" w:rsidRDefault="00924C8D" w:rsidP="00D744B2">
      <w:pPr>
        <w:pStyle w:val="Titre1"/>
      </w:pPr>
      <w:r>
        <w:t>La pension CAVIMAC</w:t>
      </w:r>
    </w:p>
    <w:p w14:paraId="3FB760BA" w14:textId="585B8005" w:rsidR="00924C8D" w:rsidRDefault="00C02A02" w:rsidP="00322B59">
      <w:pPr>
        <w:pStyle w:val="Paragraphe12"/>
      </w:pPr>
      <w:r>
        <w:t xml:space="preserve">En 1945 et 1948, le culte catholique a </w:t>
      </w:r>
      <w:r w:rsidR="001F793E">
        <w:t>refusé la Sécurité sociale</w:t>
      </w:r>
      <w:r>
        <w:t xml:space="preserve">. En 1978, il </w:t>
      </w:r>
      <w:r w:rsidR="001F793E">
        <w:t>a voulu des cotisations faibles, lesquelles produiraient une retraite faible. Ce qui a conduit à 3 ajustements :</w:t>
      </w:r>
    </w:p>
    <w:p w14:paraId="65EAB723" w14:textId="5EA5691F" w:rsidR="001F793E" w:rsidRPr="00322B59" w:rsidRDefault="001F793E" w:rsidP="00322B59">
      <w:pPr>
        <w:pStyle w:val="listepucescitation"/>
      </w:pPr>
      <w:r w:rsidRPr="00322B59">
        <w:t>1998 : intégration financière dans le régime général,</w:t>
      </w:r>
    </w:p>
    <w:p w14:paraId="0ABEAF91" w14:textId="300814BD" w:rsidR="001F793E" w:rsidRPr="00322B59" w:rsidRDefault="001F793E" w:rsidP="00322B59">
      <w:pPr>
        <w:pStyle w:val="listepucescitation"/>
      </w:pPr>
      <w:r w:rsidRPr="00322B59">
        <w:t xml:space="preserve">2006 : majoration </w:t>
      </w:r>
      <w:r w:rsidR="00960220" w:rsidRPr="00322B59">
        <w:t xml:space="preserve">de la pension </w:t>
      </w:r>
      <w:r w:rsidRPr="00322B59">
        <w:t>au niveau du minimum contributif majoré pour la période 1979-1997</w:t>
      </w:r>
    </w:p>
    <w:p w14:paraId="76E67107" w14:textId="2AC173DA" w:rsidR="00960220" w:rsidRPr="00322B59" w:rsidRDefault="00960220" w:rsidP="00322B59">
      <w:pPr>
        <w:pStyle w:val="listepucescitation"/>
      </w:pPr>
      <w:r w:rsidRPr="00322B59">
        <w:t>2010 : majoration de la pension au niveau du minimum contributif pour les périodes antérieures à 1979.</w:t>
      </w:r>
    </w:p>
    <w:p w14:paraId="5A863A80" w14:textId="5901209D" w:rsidR="00960220" w:rsidRDefault="00563A81" w:rsidP="00322B59">
      <w:pPr>
        <w:pStyle w:val="Paragraphe12"/>
      </w:pPr>
      <w:r>
        <w:t>C</w:t>
      </w:r>
      <w:r w:rsidR="00960220">
        <w:t xml:space="preserve">es ajustements ne s’appliquent que pour les pensions liquidées postérieurement à leur </w:t>
      </w:r>
      <w:r w:rsidR="00C72997">
        <w:t>promulgation. Il en résulte que la pension Cavimac est constituée de trois périodes ayant chacune un calcul différent :</w:t>
      </w:r>
    </w:p>
    <w:p w14:paraId="65486E33" w14:textId="793909F3" w:rsidR="00924C8D" w:rsidRDefault="00924C8D" w:rsidP="00322B59">
      <w:pPr>
        <w:pStyle w:val="listepucescitation"/>
      </w:pPr>
      <w:r>
        <w:t xml:space="preserve">période avant 1979 : </w:t>
      </w:r>
      <w:r w:rsidRPr="00DD5D9B">
        <w:t>MICO</w:t>
      </w:r>
      <w:r w:rsidR="005D47E3">
        <w:t xml:space="preserve"> </w:t>
      </w:r>
      <w:r w:rsidRPr="00DD5D9B">
        <w:t>*</w:t>
      </w:r>
      <w:r w:rsidR="005D47E3">
        <w:t xml:space="preserve"> </w:t>
      </w:r>
      <w:r w:rsidRPr="00DD5D9B">
        <w:t>nb trimestres / nb de trimestres de référence</w:t>
      </w:r>
    </w:p>
    <w:p w14:paraId="3DF1B3F2" w14:textId="5F718CF0" w:rsidR="00924C8D" w:rsidRDefault="00924C8D" w:rsidP="00322B59">
      <w:pPr>
        <w:pStyle w:val="listepucescitation"/>
      </w:pPr>
      <w:r>
        <w:t>période 01/01/1979</w:t>
      </w:r>
      <w:r w:rsidR="00DD5D9B">
        <w:t>-</w:t>
      </w:r>
      <w:r>
        <w:t xml:space="preserve">31/12/1997 : </w:t>
      </w:r>
      <w:r w:rsidRPr="00DD5D9B">
        <w:t>MICO majoré * nb trimestres / nb de trimestres de référence</w:t>
      </w:r>
    </w:p>
    <w:p w14:paraId="5C1609A2" w14:textId="6C5B0CAF" w:rsidR="00924C8D" w:rsidRDefault="00924C8D" w:rsidP="00322B59">
      <w:pPr>
        <w:pStyle w:val="listepucescitation"/>
      </w:pPr>
      <w:r>
        <w:t xml:space="preserve">période </w:t>
      </w:r>
      <w:r w:rsidR="00DD5D9B">
        <w:t>postérieure au 01/01/</w:t>
      </w:r>
      <w:r>
        <w:t>1998 :</w:t>
      </w:r>
      <w:r w:rsidR="00DD5D9B">
        <w:t xml:space="preserve"> </w:t>
      </w:r>
      <w:r>
        <w:t>S</w:t>
      </w:r>
      <w:r w:rsidR="00DD5D9B">
        <w:t>AM</w:t>
      </w:r>
      <w:r>
        <w:t>.*</w:t>
      </w:r>
      <w:r w:rsidR="005D47E3">
        <w:t xml:space="preserve"> </w:t>
      </w:r>
      <w:r>
        <w:t>50 %</w:t>
      </w:r>
      <w:r w:rsidR="005D47E3">
        <w:t xml:space="preserve"> </w:t>
      </w:r>
      <w:r>
        <w:t>*</w:t>
      </w:r>
      <w:r w:rsidR="005D47E3">
        <w:t xml:space="preserve"> </w:t>
      </w:r>
      <w:r>
        <w:t>nb trimestres / nb de trimestres de référence</w:t>
      </w:r>
    </w:p>
    <w:p w14:paraId="547C8502" w14:textId="12457282" w:rsidR="00924C8D" w:rsidRPr="00997CBB" w:rsidRDefault="00715CC4" w:rsidP="00322B59">
      <w:pPr>
        <w:pStyle w:val="Paragraphe12"/>
      </w:pPr>
      <w:r w:rsidRPr="00997CBB">
        <w:t>Remarques.</w:t>
      </w:r>
    </w:p>
    <w:p w14:paraId="59D443B7" w14:textId="40B22CAC" w:rsidR="00715CC4" w:rsidRDefault="00715CC4" w:rsidP="00322B59">
      <w:pPr>
        <w:pStyle w:val="listepucescitation"/>
      </w:pPr>
      <w:r>
        <w:t xml:space="preserve">Le calcul de la pension afférente à la période 1979-1997 n’applique </w:t>
      </w:r>
      <w:r w:rsidR="00B5655F">
        <w:t xml:space="preserve">pas </w:t>
      </w:r>
      <w:r>
        <w:t>la division par le nombre total de trimestres tous régimes, mais la division par le nombre de trimestres de référence.</w:t>
      </w:r>
    </w:p>
    <w:p w14:paraId="55691098" w14:textId="57E6FE2F" w:rsidR="00715CC4" w:rsidRDefault="000C53D8" w:rsidP="00322B59">
      <w:pPr>
        <w:pStyle w:val="listepucescitation"/>
      </w:pPr>
      <w:r>
        <w:t>Le répertoire “CALCUL PENSION CAV” contient des fichiers Excel avec le calcul de la pension.</w:t>
      </w:r>
    </w:p>
    <w:p w14:paraId="53B22DFC" w14:textId="7CC8D8F4" w:rsidR="000C53D8" w:rsidRDefault="000C53D8" w:rsidP="00322B59">
      <w:pPr>
        <w:pStyle w:val="listepucescitation"/>
      </w:pPr>
      <w:r>
        <w:t>Le répertoire “COTISATIONS” contient un fichier Excel qui permet de calculer les arriérés de cotisations.</w:t>
      </w:r>
    </w:p>
    <w:p w14:paraId="4037FBCE" w14:textId="7C027BD9" w:rsidR="000C53D8" w:rsidRDefault="000C53D8" w:rsidP="00322B59">
      <w:pPr>
        <w:pStyle w:val="listepucescitation"/>
      </w:pPr>
      <w:r>
        <w:t>Le calcul des arriérés de pension doit se faire sur les montants bruts (et non sur les montants nets).</w:t>
      </w:r>
      <w:r w:rsidR="00D83E32">
        <w:t xml:space="preserve"> Un fois le montant brut des arriérés obtenu, il faut appliquer les taux de prélèvements sociaux et à la source en vigueur au moment de la rectification indépendamment des échéances concernées.</w:t>
      </w:r>
    </w:p>
    <w:p w14:paraId="16439C17" w14:textId="54330792" w:rsidR="00BC03EA" w:rsidRDefault="000C53D8" w:rsidP="00322B59">
      <w:pPr>
        <w:pStyle w:val="listepucescitation"/>
      </w:pPr>
      <w:r>
        <w:t xml:space="preserve">Depuis 1998, les cotisations à la Cavimac sont sur la base du SMIC : 4 trimestres </w:t>
      </w:r>
      <w:r w:rsidR="00BC03EA">
        <w:t xml:space="preserve">peuvent être </w:t>
      </w:r>
      <w:r>
        <w:t xml:space="preserve">validés alors que </w:t>
      </w:r>
      <w:r w:rsidR="00BC03EA">
        <w:t>la base de revenus</w:t>
      </w:r>
      <w:r w:rsidR="00655B7E">
        <w:t xml:space="preserve"> (qui servira pour le calcul de la pension)</w:t>
      </w:r>
      <w:r w:rsidR="00BC03EA">
        <w:t xml:space="preserve"> est la moitié du SMIC annuel</w:t>
      </w:r>
      <w:r w:rsidR="00655B7E">
        <w:t>. Il faut donc demander rectification pour que la prise en compte soit effectuée sur la base du SMIC annuel.</w:t>
      </w:r>
    </w:p>
    <w:p w14:paraId="76834129" w14:textId="24AED3B9" w:rsidR="000C53D8" w:rsidRDefault="00BC03EA" w:rsidP="00322B59">
      <w:pPr>
        <w:pStyle w:val="listepucescitation"/>
      </w:pPr>
      <w:r>
        <w:t xml:space="preserve">Chacun peut consulter son relevé individuel de situation sur le site </w:t>
      </w:r>
      <w:r w:rsidRPr="00BC03EA">
        <w:t>lassuranceretraite.fr</w:t>
      </w:r>
      <w:r>
        <w:t xml:space="preserve"> </w:t>
      </w:r>
    </w:p>
    <w:p w14:paraId="2B03E4E1" w14:textId="07D4A84C" w:rsidR="00BC03EA" w:rsidRDefault="00655B7E" w:rsidP="00322B59">
      <w:pPr>
        <w:pStyle w:val="listepucescitation"/>
      </w:pPr>
      <w:r>
        <w:t>La prescription de l’action en réparation pour le préjudice résultant de l’absence de cotisations ne court qu’à compter de la liquidation de la pension. Cependant il faut agir dès que l’on a connaissance du préjudice</w:t>
      </w:r>
      <w:r w:rsidR="00563A81">
        <w:t> :</w:t>
      </w:r>
      <w:r>
        <w:t xml:space="preserve"> la communauté peut disparaître…</w:t>
      </w:r>
    </w:p>
    <w:p w14:paraId="28C7B0CC" w14:textId="7BA0A010" w:rsidR="00924C8D" w:rsidRDefault="00924C8D" w:rsidP="000A7571">
      <w:pPr>
        <w:pStyle w:val="Titre1"/>
      </w:pPr>
      <w:r>
        <w:lastRenderedPageBreak/>
        <w:t xml:space="preserve">Le </w:t>
      </w:r>
      <w:r w:rsidR="000A7571">
        <w:t>Pôle</w:t>
      </w:r>
      <w:r>
        <w:t xml:space="preserve"> social</w:t>
      </w:r>
    </w:p>
    <w:p w14:paraId="5BD61AFF" w14:textId="4E5B8EB5" w:rsidR="00F513D7" w:rsidRPr="00A83EF7" w:rsidRDefault="00924C8D" w:rsidP="00784805">
      <w:pPr>
        <w:pStyle w:val="Titre4"/>
      </w:pPr>
      <w:r w:rsidRPr="00A83EF7">
        <w:t>Les tribunau</w:t>
      </w:r>
      <w:r w:rsidR="00994DA6" w:rsidRPr="00A83EF7">
        <w:t>x</w:t>
      </w:r>
    </w:p>
    <w:p w14:paraId="69215A67" w14:textId="050B5E02" w:rsidR="00924C8D" w:rsidRDefault="00F513D7" w:rsidP="00322B59">
      <w:pPr>
        <w:pStyle w:val="listepucescitation"/>
      </w:pPr>
      <w:r w:rsidRPr="00F513D7">
        <w:rPr>
          <w:rFonts w:eastAsia="Arial"/>
          <w:u w:val="single"/>
        </w:rPr>
        <w:t>Le Conseil des</w:t>
      </w:r>
      <w:r w:rsidR="00924C8D" w:rsidRPr="00F513D7">
        <w:rPr>
          <w:rFonts w:eastAsia="Arial"/>
          <w:u w:val="single"/>
        </w:rPr>
        <w:t xml:space="preserve"> Prud’hommes</w:t>
      </w:r>
      <w:r w:rsidR="00924C8D">
        <w:t xml:space="preserve"> </w:t>
      </w:r>
      <w:r>
        <w:t>traite les litiges</w:t>
      </w:r>
      <w:r w:rsidR="00924C8D">
        <w:t xml:space="preserve"> </w:t>
      </w:r>
      <w:r>
        <w:t xml:space="preserve">du travail entre salariés et employeurs. Il permet par exemple de </w:t>
      </w:r>
      <w:r w:rsidR="00924C8D">
        <w:t xml:space="preserve">requalifier des périodes </w:t>
      </w:r>
      <w:r>
        <w:t>non cotisées ou au pair en contrat de travail. Représentation obligatoire.</w:t>
      </w:r>
    </w:p>
    <w:p w14:paraId="28C2D4CD" w14:textId="014FFC8D" w:rsidR="00A83EF7" w:rsidRDefault="00924C8D" w:rsidP="00322B59">
      <w:pPr>
        <w:pStyle w:val="listepucescitation"/>
      </w:pPr>
      <w:r w:rsidRPr="00A83EF7">
        <w:rPr>
          <w:u w:val="single"/>
        </w:rPr>
        <w:t>Le tribunal judiciaire</w:t>
      </w:r>
      <w:r>
        <w:t xml:space="preserve"> (ex TGI) </w:t>
      </w:r>
      <w:r w:rsidR="00A83EF7">
        <w:t xml:space="preserve">est compétent pour les litiges qui ne relèvent pas d’un autre tribunal, par exemple, </w:t>
      </w:r>
      <w:r>
        <w:t xml:space="preserve">pour les </w:t>
      </w:r>
      <w:r w:rsidR="00A83EF7">
        <w:t>“</w:t>
      </w:r>
      <w:r>
        <w:t>préjudices corporels</w:t>
      </w:r>
      <w:r w:rsidR="00A83EF7">
        <w:t>” découlant d’emprise. Représentation obligatoire.</w:t>
      </w:r>
    </w:p>
    <w:p w14:paraId="3F939A2F" w14:textId="09CB5E7A" w:rsidR="00924C8D" w:rsidRDefault="00924C8D" w:rsidP="00322B59">
      <w:pPr>
        <w:pStyle w:val="listepucescitation"/>
      </w:pPr>
      <w:r w:rsidRPr="00210401">
        <w:rPr>
          <w:u w:val="single"/>
        </w:rPr>
        <w:t>Le pôle social du tribunal judiciaire</w:t>
      </w:r>
      <w:r>
        <w:t xml:space="preserve"> (ex TASS) </w:t>
      </w:r>
      <w:r w:rsidR="00A83EF7">
        <w:t xml:space="preserve">est compétent pour tous les litiges relatifs au contentieux de la sécurité sociale. </w:t>
      </w:r>
      <w:r w:rsidR="0054724A" w:rsidRPr="00210401">
        <w:rPr>
          <w:u w:val="single"/>
        </w:rPr>
        <w:t>C’est l’instance que nous saisissons</w:t>
      </w:r>
      <w:r w:rsidR="0054724A" w:rsidRPr="0054724A">
        <w:t xml:space="preserve">. </w:t>
      </w:r>
      <w:r w:rsidR="00A83EF7">
        <w:t>P</w:t>
      </w:r>
      <w:r w:rsidR="00210401">
        <w:t>rocédure orale (donc présence obligatoire de l’intéressé lors de l’audience). P</w:t>
      </w:r>
      <w:r w:rsidR="00A83EF7">
        <w:t>as de représentation obligatoire</w:t>
      </w:r>
      <w:r w:rsidR="00210401">
        <w:t>. L</w:t>
      </w:r>
      <w:r>
        <w:t>e pôle social compétent est celui du domicile de requérant</w:t>
      </w:r>
      <w:r w:rsidR="00210401">
        <w:t>. Depuis 2019 (loi 2016-1547), l</w:t>
      </w:r>
      <w:r>
        <w:t>es associations peuvent désigner un représentant.</w:t>
      </w:r>
      <w:r w:rsidR="00210401">
        <w:t xml:space="preserve"> </w:t>
      </w:r>
    </w:p>
    <w:p w14:paraId="4A597ED7" w14:textId="39228892" w:rsidR="00924C8D" w:rsidRDefault="00784805" w:rsidP="00784805">
      <w:pPr>
        <w:pStyle w:val="Titre4"/>
      </w:pPr>
      <w:r>
        <w:t>Les é</w:t>
      </w:r>
      <w:r w:rsidR="00924C8D">
        <w:t>tapes d’un dossier</w:t>
      </w:r>
    </w:p>
    <w:p w14:paraId="7CDE13F7" w14:textId="053D26BC" w:rsidR="00784805" w:rsidRDefault="00784805" w:rsidP="00EB5313">
      <w:pPr>
        <w:pStyle w:val="listepuces1esp12"/>
      </w:pPr>
      <w:r w:rsidRPr="00EB5313">
        <w:t>Requê</w:t>
      </w:r>
      <w:r>
        <w:t xml:space="preserve">te auprès de la Cavimac </w:t>
      </w:r>
      <w:r w:rsidRPr="00EB5313">
        <w:rPr>
          <w:b w:val="0"/>
          <w:bCs/>
        </w:rPr>
        <w:t>pour demander la prise en compte de la période omise.</w:t>
      </w:r>
      <w:r w:rsidR="00EB5313" w:rsidRPr="00EB5313">
        <w:rPr>
          <w:b w:val="0"/>
          <w:bCs/>
        </w:rPr>
        <w:t xml:space="preserve"> </w:t>
      </w:r>
      <w:r w:rsidRPr="00EB5313">
        <w:rPr>
          <w:b w:val="0"/>
          <w:bCs/>
        </w:rPr>
        <w:t>Décision de la Cavimac</w:t>
      </w:r>
      <w:r w:rsidR="00EB5313" w:rsidRPr="00EB5313">
        <w:rPr>
          <w:b w:val="0"/>
          <w:bCs/>
        </w:rPr>
        <w:t> : refus</w:t>
      </w:r>
      <w:r w:rsidRPr="00EB5313">
        <w:rPr>
          <w:b w:val="0"/>
          <w:bCs/>
        </w:rPr>
        <w:t>.</w:t>
      </w:r>
      <w:r w:rsidR="000F366A">
        <w:rPr>
          <w:b w:val="0"/>
          <w:bCs/>
        </w:rPr>
        <w:t xml:space="preserve"> Délai de recours : 2 mois.</w:t>
      </w:r>
    </w:p>
    <w:p w14:paraId="670C94B1" w14:textId="25C6DB42" w:rsidR="00EB5313" w:rsidRDefault="00EB5313" w:rsidP="00EB5313">
      <w:pPr>
        <w:pStyle w:val="listepuces1esp12"/>
      </w:pPr>
      <w:r>
        <w:t>Saisine de la Commission de Recours Amiable (CRA) de la CAVIMAC</w:t>
      </w:r>
      <w:r w:rsidRPr="00EB5313">
        <w:rPr>
          <w:b w:val="0"/>
          <w:bCs/>
        </w:rPr>
        <w:t>. Saisine à faire</w:t>
      </w:r>
      <w:r>
        <w:t xml:space="preserve"> </w:t>
      </w:r>
      <w:r w:rsidRPr="00EB5313">
        <w:rPr>
          <w:b w:val="0"/>
          <w:bCs/>
        </w:rPr>
        <w:t xml:space="preserve">par courrier recommandé avec </w:t>
      </w:r>
      <w:r>
        <w:rPr>
          <w:b w:val="0"/>
          <w:bCs/>
        </w:rPr>
        <w:t>avis</w:t>
      </w:r>
      <w:r w:rsidRPr="00EB5313">
        <w:rPr>
          <w:b w:val="0"/>
          <w:bCs/>
        </w:rPr>
        <w:t xml:space="preserve"> de réception</w:t>
      </w:r>
      <w:r>
        <w:rPr>
          <w:b w:val="0"/>
          <w:bCs/>
        </w:rPr>
        <w:t xml:space="preserve">. </w:t>
      </w:r>
      <w:r w:rsidR="000F366A">
        <w:rPr>
          <w:b w:val="0"/>
          <w:bCs/>
        </w:rPr>
        <w:t>Énoncer les motifs de la contestation et b</w:t>
      </w:r>
      <w:r>
        <w:rPr>
          <w:b w:val="0"/>
          <w:bCs/>
        </w:rPr>
        <w:t>ien établir les demandes</w:t>
      </w:r>
      <w:r w:rsidR="000F366A">
        <w:rPr>
          <w:b w:val="0"/>
          <w:bCs/>
        </w:rPr>
        <w:t xml:space="preserve">. Décision de la CRA : refus </w:t>
      </w:r>
      <w:r w:rsidR="0054724A">
        <w:rPr>
          <w:b w:val="0"/>
          <w:bCs/>
        </w:rPr>
        <w:t>(</w:t>
      </w:r>
      <w:r w:rsidR="000F366A">
        <w:rPr>
          <w:b w:val="0"/>
          <w:bCs/>
        </w:rPr>
        <w:t>ou absence de réponse dans les deux mois</w:t>
      </w:r>
      <w:r w:rsidR="0054724A">
        <w:rPr>
          <w:b w:val="0"/>
          <w:bCs/>
        </w:rPr>
        <w:t>)</w:t>
      </w:r>
      <w:r w:rsidR="000F366A">
        <w:rPr>
          <w:b w:val="0"/>
          <w:bCs/>
        </w:rPr>
        <w:t>. Délai de recours : 2 mois.</w:t>
      </w:r>
    </w:p>
    <w:p w14:paraId="582C8631" w14:textId="06064BFA" w:rsidR="00EB5313" w:rsidRDefault="008070E5" w:rsidP="00EB5313">
      <w:pPr>
        <w:pStyle w:val="listepuces1esp12"/>
      </w:pPr>
      <w:r>
        <w:t xml:space="preserve">Saisine du pôle social. </w:t>
      </w:r>
      <w:r w:rsidRPr="008070E5">
        <w:rPr>
          <w:b w:val="0"/>
          <w:bCs/>
        </w:rPr>
        <w:t>Le contenu de la saisine est précisé à l’article 54 CPC</w:t>
      </w:r>
      <w:r w:rsidR="000C7A86">
        <w:rPr>
          <w:b w:val="0"/>
          <w:bCs/>
        </w:rPr>
        <w:t>. Elle comprend l’énoncé du litige, les arguments et l’indication des pièces sur lesquelles la demande est fondée. (Il peut être intéressant de fournir d’</w:t>
      </w:r>
      <w:r w:rsidR="00563A81">
        <w:rPr>
          <w:b w:val="0"/>
          <w:bCs/>
        </w:rPr>
        <w:t>e</w:t>
      </w:r>
      <w:r w:rsidR="000C7A86">
        <w:rPr>
          <w:b w:val="0"/>
          <w:bCs/>
        </w:rPr>
        <w:t xml:space="preserve">mblée les conclusions et les pièces, ce qui implique de commencer à rassembler les </w:t>
      </w:r>
      <w:r w:rsidR="005E28CA">
        <w:rPr>
          <w:b w:val="0"/>
          <w:bCs/>
        </w:rPr>
        <w:t>documents justificatifs des demandes</w:t>
      </w:r>
      <w:r w:rsidR="000C7A86">
        <w:rPr>
          <w:b w:val="0"/>
          <w:bCs/>
        </w:rPr>
        <w:t xml:space="preserve"> dès la requête à la Cavimac). </w:t>
      </w:r>
    </w:p>
    <w:p w14:paraId="67B6CC6B" w14:textId="6109CF63" w:rsidR="008070E5" w:rsidRDefault="005E28CA" w:rsidP="005E28CA">
      <w:pPr>
        <w:pStyle w:val="listepucescitation"/>
        <w:numPr>
          <w:ilvl w:val="0"/>
          <w:numId w:val="0"/>
        </w:numPr>
        <w:ind w:left="568" w:hanging="284"/>
      </w:pPr>
      <w:r>
        <w:rPr>
          <w:b/>
          <w:bCs/>
        </w:rPr>
        <w:t xml:space="preserve">NB. </w:t>
      </w:r>
      <w:r w:rsidR="008070E5">
        <w:t>Garder traces écrites de tous les courriers et documents (avis de réception, etc.). Tenir un calendrier de tous les échanges. Se constituer un dossier qui regroupe toutes les pièces échangées.</w:t>
      </w:r>
    </w:p>
    <w:p w14:paraId="0129FAD9" w14:textId="21C3C201" w:rsidR="00924C8D" w:rsidRDefault="004A48EC" w:rsidP="004A48EC">
      <w:pPr>
        <w:pStyle w:val="Titre4"/>
      </w:pPr>
      <w:r>
        <w:t>Le contenu des conclusions</w:t>
      </w:r>
    </w:p>
    <w:p w14:paraId="6DF66DC3" w14:textId="465821BE" w:rsidR="004A48EC" w:rsidRDefault="004A48EC" w:rsidP="004A48EC">
      <w:pPr>
        <w:pStyle w:val="listepuces1esp12"/>
        <w:numPr>
          <w:ilvl w:val="0"/>
          <w:numId w:val="28"/>
        </w:numPr>
      </w:pPr>
      <w:r>
        <w:t>Exposé des faits, des démarches, de la procédure.</w:t>
      </w:r>
    </w:p>
    <w:p w14:paraId="3E135B7A" w14:textId="24BAD51F" w:rsidR="004A48EC" w:rsidRDefault="004A48EC" w:rsidP="004A48EC">
      <w:pPr>
        <w:pStyle w:val="listepuces1esp12"/>
        <w:numPr>
          <w:ilvl w:val="0"/>
          <w:numId w:val="28"/>
        </w:numPr>
      </w:pPr>
      <w:r>
        <w:t>Recevabilité et intérêt à agir</w:t>
      </w:r>
    </w:p>
    <w:p w14:paraId="2E8EC295" w14:textId="64B4AFAB" w:rsidR="004A48EC" w:rsidRPr="00BE308E" w:rsidRDefault="004A48EC" w:rsidP="004A48EC">
      <w:pPr>
        <w:pStyle w:val="listepuces1esp12"/>
        <w:numPr>
          <w:ilvl w:val="0"/>
          <w:numId w:val="28"/>
        </w:numPr>
      </w:pPr>
      <w:r>
        <w:t xml:space="preserve">Obligation de mon affiliation. </w:t>
      </w:r>
      <w:r w:rsidR="00BE308E">
        <w:rPr>
          <w:b w:val="0"/>
          <w:bCs/>
        </w:rPr>
        <w:t xml:space="preserve">Éléments de droit. Éléments de fait. </w:t>
      </w:r>
      <w:r w:rsidR="00BE308E">
        <w:t>Apporter les preuves.</w:t>
      </w:r>
    </w:p>
    <w:p w14:paraId="592CB0DB" w14:textId="39626650" w:rsidR="00BE308E" w:rsidRPr="00BE308E" w:rsidRDefault="00BE308E" w:rsidP="004A48EC">
      <w:pPr>
        <w:pStyle w:val="listepuces1esp12"/>
        <w:numPr>
          <w:ilvl w:val="0"/>
          <w:numId w:val="28"/>
        </w:numPr>
      </w:pPr>
      <w:r>
        <w:t xml:space="preserve">Réparation du préjudice moral. </w:t>
      </w:r>
      <w:r>
        <w:rPr>
          <w:b w:val="0"/>
          <w:bCs/>
        </w:rPr>
        <w:t>Prouver la faute. Prouver le préjudice.</w:t>
      </w:r>
    </w:p>
    <w:p w14:paraId="4859092B" w14:textId="63BD6DDD" w:rsidR="00924C8D" w:rsidRPr="004C41B8" w:rsidRDefault="00BE308E" w:rsidP="004C41B8">
      <w:pPr>
        <w:pStyle w:val="listepuces1esp12"/>
        <w:numPr>
          <w:ilvl w:val="0"/>
          <w:numId w:val="28"/>
        </w:numPr>
      </w:pPr>
      <w:r>
        <w:t xml:space="preserve">Les demandes : Par ces motifs. </w:t>
      </w:r>
      <w:r>
        <w:rPr>
          <w:b w:val="0"/>
          <w:bCs/>
        </w:rPr>
        <w:t>A bien soigner : ce sont les demandes auxquelles le juge répondra.</w:t>
      </w:r>
    </w:p>
    <w:p w14:paraId="132DF79F" w14:textId="584D93A1" w:rsidR="00BE308E" w:rsidRDefault="004C41B8" w:rsidP="004C41B8">
      <w:pPr>
        <w:pStyle w:val="Titre1"/>
      </w:pPr>
      <w:r>
        <w:t>mode de fonctionnement APRC</w:t>
      </w:r>
      <w:r w:rsidR="00C0146D">
        <w:t>.</w:t>
      </w:r>
      <w:r w:rsidR="00C0146D" w:rsidRPr="00C0146D">
        <w:t xml:space="preserve"> </w:t>
      </w:r>
      <w:r w:rsidR="00C0146D">
        <w:t>Confidentialité</w:t>
      </w:r>
    </w:p>
    <w:p w14:paraId="33F1F466" w14:textId="2DCF24B3" w:rsidR="00C0146D" w:rsidRPr="007E3332" w:rsidRDefault="00450347" w:rsidP="00C0146D">
      <w:pPr>
        <w:pStyle w:val="listepuces1esp12"/>
        <w:numPr>
          <w:ilvl w:val="0"/>
          <w:numId w:val="29"/>
        </w:numPr>
      </w:pPr>
      <w:r>
        <w:t xml:space="preserve"> Mode de fonc</w:t>
      </w:r>
      <w:r w:rsidR="00C0146D">
        <w:t>tionnement APRC.</w:t>
      </w:r>
      <w:r w:rsidR="00DB027E">
        <w:t xml:space="preserve"> </w:t>
      </w:r>
      <w:r w:rsidR="00DB027E">
        <w:rPr>
          <w:b w:val="0"/>
          <w:bCs/>
        </w:rPr>
        <w:t xml:space="preserve">Actuellement l’accueil est réalisé par Christiane. </w:t>
      </w:r>
      <w:r w:rsidR="007E3332">
        <w:rPr>
          <w:b w:val="0"/>
          <w:bCs/>
        </w:rPr>
        <w:t>Les lettres de saisine et conclusions sont réalisées par une toute petite équipe. Ne faut-il pas que les groupes régionaux soit impliqués très rapidement dans l’accueil des nouveaux arrivants et les assistent dans le pilotage du dossier et, au besoin, dans l’assistance pour la plaidoirie</w:t>
      </w:r>
      <w:r w:rsidR="00563A81">
        <w:rPr>
          <w:b w:val="0"/>
          <w:bCs/>
        </w:rPr>
        <w:t> ?</w:t>
      </w:r>
    </w:p>
    <w:p w14:paraId="22CEB091" w14:textId="3F5397FB" w:rsidR="007E3332" w:rsidRDefault="007E3332" w:rsidP="007E3332">
      <w:pPr>
        <w:pStyle w:val="listepuces1esp12"/>
        <w:ind w:left="720"/>
        <w:rPr>
          <w:b w:val="0"/>
          <w:bCs/>
        </w:rPr>
      </w:pPr>
      <w:r w:rsidRPr="007E3332">
        <w:rPr>
          <w:b w:val="0"/>
          <w:bCs/>
        </w:rPr>
        <w:t>Pour les dossiers plus complexes, ne faut-il pas collaborer avec un avocat</w:t>
      </w:r>
      <w:r w:rsidR="00563A81">
        <w:rPr>
          <w:b w:val="0"/>
          <w:bCs/>
        </w:rPr>
        <w:t> ?</w:t>
      </w:r>
      <w:r>
        <w:rPr>
          <w:b w:val="0"/>
          <w:bCs/>
        </w:rPr>
        <w:t xml:space="preserve"> </w:t>
      </w:r>
    </w:p>
    <w:p w14:paraId="0FCDA0C1" w14:textId="7CF55135" w:rsidR="005F143D" w:rsidRPr="007E3332" w:rsidRDefault="005F143D" w:rsidP="007E3332">
      <w:pPr>
        <w:pStyle w:val="listepuces1esp12"/>
        <w:ind w:left="720"/>
        <w:rPr>
          <w:b w:val="0"/>
          <w:bCs/>
        </w:rPr>
      </w:pPr>
      <w:r>
        <w:rPr>
          <w:b w:val="0"/>
          <w:bCs/>
        </w:rPr>
        <w:t>C’est l’intéressé qui reste maître de son dossier. Notre rôle est un rôle d’assistance.</w:t>
      </w:r>
    </w:p>
    <w:p w14:paraId="7C34BB01" w14:textId="32E885BD" w:rsidR="00C0146D" w:rsidRPr="00512607" w:rsidRDefault="00C0146D" w:rsidP="00C0146D">
      <w:pPr>
        <w:pStyle w:val="listepuces1esp12"/>
        <w:numPr>
          <w:ilvl w:val="0"/>
          <w:numId w:val="29"/>
        </w:numPr>
      </w:pPr>
      <w:r>
        <w:t xml:space="preserve">Confidentialité. </w:t>
      </w:r>
      <w:r>
        <w:rPr>
          <w:b w:val="0"/>
          <w:bCs/>
        </w:rPr>
        <w:t xml:space="preserve">Les membres de l’équipe qui suivent un dossier doivent garder la plus stricte confidentialité sur </w:t>
      </w:r>
      <w:r w:rsidR="00512607">
        <w:rPr>
          <w:b w:val="0"/>
          <w:bCs/>
        </w:rPr>
        <w:t>les éléments personnels contenus dans les dossiers. Demander l’accord préalable de l’intéressé pour travailler en équipe et partager les documents.</w:t>
      </w:r>
    </w:p>
    <w:p w14:paraId="1D5F5FD4" w14:textId="145FC861" w:rsidR="00512607" w:rsidRDefault="00512607" w:rsidP="00C0146D">
      <w:pPr>
        <w:pStyle w:val="listepuces1esp12"/>
        <w:numPr>
          <w:ilvl w:val="0"/>
          <w:numId w:val="29"/>
        </w:numPr>
      </w:pPr>
      <w:r>
        <w:t xml:space="preserve">NB. </w:t>
      </w:r>
      <w:r w:rsidRPr="00512607">
        <w:rPr>
          <w:b w:val="0"/>
          <w:bCs/>
        </w:rPr>
        <w:t>Les documents fournis dans le dossier</w:t>
      </w:r>
      <w:r>
        <w:rPr>
          <w:b w:val="0"/>
          <w:bCs/>
        </w:rPr>
        <w:t xml:space="preserve"> (notamment, dans le répertoire 2. </w:t>
      </w:r>
      <w:r w:rsidR="00563A81">
        <w:rPr>
          <w:b w:val="0"/>
          <w:bCs/>
        </w:rPr>
        <w:t>Pôle</w:t>
      </w:r>
      <w:r>
        <w:rPr>
          <w:b w:val="0"/>
          <w:bCs/>
        </w:rPr>
        <w:t xml:space="preserve"> social. 2.2. Les étapes), n’ont pas été correctement rendus anonymes. Il</w:t>
      </w:r>
      <w:r w:rsidR="00AA65E0">
        <w:rPr>
          <w:b w:val="0"/>
          <w:bCs/>
        </w:rPr>
        <w:t>s</w:t>
      </w:r>
      <w:r>
        <w:rPr>
          <w:b w:val="0"/>
          <w:bCs/>
        </w:rPr>
        <w:t xml:space="preserve"> sont à l’usage </w:t>
      </w:r>
      <w:r w:rsidR="00AA65E0">
        <w:rPr>
          <w:b w:val="0"/>
          <w:bCs/>
        </w:rPr>
        <w:t>exclusif</w:t>
      </w:r>
      <w:r>
        <w:rPr>
          <w:b w:val="0"/>
          <w:bCs/>
        </w:rPr>
        <w:t xml:space="preserve"> des membres du groupe. En respecter </w:t>
      </w:r>
      <w:r w:rsidR="00AA65E0">
        <w:rPr>
          <w:b w:val="0"/>
          <w:bCs/>
        </w:rPr>
        <w:t xml:space="preserve">strictement </w:t>
      </w:r>
      <w:r>
        <w:rPr>
          <w:b w:val="0"/>
          <w:bCs/>
        </w:rPr>
        <w:t>la confidentialité ; ne pas les diffuser.</w:t>
      </w:r>
    </w:p>
    <w:p w14:paraId="06294467" w14:textId="752E9F98" w:rsidR="00924C8D" w:rsidRDefault="005F143D" w:rsidP="005F143D">
      <w:pPr>
        <w:pStyle w:val="Paragraphe12"/>
      </w:pPr>
      <w:r>
        <w:t>D’après les n</w:t>
      </w:r>
      <w:r w:rsidR="00924C8D">
        <w:t>otes prise</w:t>
      </w:r>
      <w:r w:rsidR="00636EEB">
        <w:t>s</w:t>
      </w:r>
      <w:r w:rsidR="00924C8D">
        <w:t xml:space="preserve"> par Luc GOURAUD</w:t>
      </w:r>
      <w:r>
        <w:t xml:space="preserve"> et re</w:t>
      </w:r>
      <w:r w:rsidR="00924C8D">
        <w:t>vues par Joseph AUVINET et Jean-Pierre MOUTON</w:t>
      </w:r>
    </w:p>
    <w:sectPr w:rsidR="00924C8D" w:rsidSect="00292C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A3D8" w14:textId="77777777" w:rsidR="00024B2F" w:rsidRDefault="00024B2F" w:rsidP="00437985">
      <w:r>
        <w:separator/>
      </w:r>
    </w:p>
  </w:endnote>
  <w:endnote w:type="continuationSeparator" w:id="0">
    <w:p w14:paraId="5608FA56" w14:textId="77777777" w:rsidR="00024B2F" w:rsidRDefault="00024B2F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157B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78AD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03B33A5A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666B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A3F88" w14:textId="77777777" w:rsidR="00024B2F" w:rsidRDefault="00024B2F" w:rsidP="00437985">
      <w:r>
        <w:separator/>
      </w:r>
    </w:p>
  </w:footnote>
  <w:footnote w:type="continuationSeparator" w:id="0">
    <w:p w14:paraId="6168000A" w14:textId="77777777" w:rsidR="00024B2F" w:rsidRDefault="00024B2F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DC49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148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3817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350"/>
        </w:tabs>
        <w:ind w:left="135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6231644"/>
    <w:multiLevelType w:val="hybridMultilevel"/>
    <w:tmpl w:val="4F68A4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F23A5E86"/>
    <w:lvl w:ilvl="0" w:tplc="B65C5FDA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C4F0B"/>
    <w:multiLevelType w:val="hybridMultilevel"/>
    <w:tmpl w:val="112418B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7888DDC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A2218B"/>
    <w:multiLevelType w:val="hybridMultilevel"/>
    <w:tmpl w:val="65FCCBE8"/>
    <w:lvl w:ilvl="0" w:tplc="040C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8" w15:restartNumberingAfterBreak="0">
    <w:nsid w:val="45B60923"/>
    <w:multiLevelType w:val="hybridMultilevel"/>
    <w:tmpl w:val="D2F805EE"/>
    <w:lvl w:ilvl="0" w:tplc="BFF4A87A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1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3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5" w15:restartNumberingAfterBreak="0">
    <w:nsid w:val="777D4715"/>
    <w:multiLevelType w:val="hybridMultilevel"/>
    <w:tmpl w:val="6FDA9456"/>
    <w:lvl w:ilvl="0" w:tplc="40BA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F5ADA"/>
    <w:multiLevelType w:val="hybridMultilevel"/>
    <w:tmpl w:val="C466053E"/>
    <w:lvl w:ilvl="0" w:tplc="853E1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0"/>
  </w:num>
  <w:num w:numId="15">
    <w:abstractNumId w:val="24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7"/>
  </w:num>
  <w:num w:numId="17">
    <w:abstractNumId w:val="12"/>
  </w:num>
  <w:num w:numId="18">
    <w:abstractNumId w:val="13"/>
  </w:num>
  <w:num w:numId="19">
    <w:abstractNumId w:val="24"/>
  </w:num>
  <w:num w:numId="20">
    <w:abstractNumId w:val="26"/>
  </w:num>
  <w:num w:numId="21">
    <w:abstractNumId w:val="18"/>
  </w:num>
  <w:num w:numId="22">
    <w:abstractNumId w:val="22"/>
  </w:num>
  <w:num w:numId="23">
    <w:abstractNumId w:val="15"/>
  </w:num>
  <w:num w:numId="24">
    <w:abstractNumId w:val="19"/>
  </w:num>
  <w:num w:numId="25">
    <w:abstractNumId w:val="14"/>
  </w:num>
  <w:num w:numId="26">
    <w:abstractNumId w:val="11"/>
  </w:num>
  <w:num w:numId="27">
    <w:abstractNumId w:val="25"/>
  </w:num>
  <w:num w:numId="28">
    <w:abstractNumId w:val="25"/>
    <w:lvlOverride w:ilvl="0">
      <w:startOverride w:val="1"/>
    </w:lvlOverride>
  </w:num>
  <w:num w:numId="2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8D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4B2F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571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3D8"/>
    <w:rsid w:val="000C54F7"/>
    <w:rsid w:val="000C58C3"/>
    <w:rsid w:val="000C5F01"/>
    <w:rsid w:val="000C5FEE"/>
    <w:rsid w:val="000C649A"/>
    <w:rsid w:val="000C6521"/>
    <w:rsid w:val="000C7A86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66A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3E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401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44A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B59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47DDB"/>
    <w:rsid w:val="004502D5"/>
    <w:rsid w:val="00450347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8EC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1B8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607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24A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A81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7E3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28CA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43D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6EEB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5B7E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CC4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4805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332"/>
    <w:rsid w:val="007E38E5"/>
    <w:rsid w:val="007E4185"/>
    <w:rsid w:val="007E4694"/>
    <w:rsid w:val="007E488D"/>
    <w:rsid w:val="007E4A9B"/>
    <w:rsid w:val="007E5047"/>
    <w:rsid w:val="007E50A3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0E5"/>
    <w:rsid w:val="00807950"/>
    <w:rsid w:val="00807F15"/>
    <w:rsid w:val="00807F45"/>
    <w:rsid w:val="00810C81"/>
    <w:rsid w:val="00810D60"/>
    <w:rsid w:val="00810F85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5967"/>
    <w:rsid w:val="00816033"/>
    <w:rsid w:val="0081630F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4C8D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0D3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220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4DA6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CBB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3EF7"/>
    <w:rsid w:val="00A840B5"/>
    <w:rsid w:val="00A8527E"/>
    <w:rsid w:val="00A857BF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5E0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85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55F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3EA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08E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46D"/>
    <w:rsid w:val="00C01A6E"/>
    <w:rsid w:val="00C01B2F"/>
    <w:rsid w:val="00C02859"/>
    <w:rsid w:val="00C02A02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65B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997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4B2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3E32"/>
    <w:rsid w:val="00D8403C"/>
    <w:rsid w:val="00D84A86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27E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5D9B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313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13D7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56E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3EE0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3DD8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DF0F"/>
  <w15:docId w15:val="{81355E6A-D6F5-41DA-B52D-BCD796A8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C8D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listepuces30"/>
    <w:next w:val="Normal"/>
    <w:link w:val="Titre5Car"/>
    <w:qFormat/>
    <w:rsid w:val="00C02A02"/>
    <w:pPr>
      <w:spacing w:before="240"/>
      <w:ind w:hanging="142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C02A02"/>
    <w:rPr>
      <w:rFonts w:ascii="Arial Narrow" w:hAnsi="Arial Narrow" w:cs="Mangal"/>
      <w:b/>
      <w:bCs/>
      <w:kern w:val="2"/>
      <w:sz w:val="22"/>
      <w:szCs w:val="24"/>
      <w:lang w:bidi="hi-IN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rPr>
      <w:color w:val="003366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autoSpaceDN w:val="0"/>
      <w:spacing w:after="120"/>
    </w:pPr>
    <w:rPr>
      <w:rFonts w:eastAsia="Lucida Sans Unicode"/>
      <w:kern w:val="3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322B59"/>
    <w:pPr>
      <w:spacing w:before="240"/>
      <w:jc w:val="both"/>
    </w:pPr>
    <w:rPr>
      <w:rFonts w:ascii="Arial Narrow" w:hAnsi="Arial Narrow" w:cs="Arial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322B59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120"/>
      <w:ind w:left="568" w:hanging="284"/>
      <w:jc w:val="both"/>
    </w:pPr>
    <w:rPr>
      <w:rFonts w:ascii="Arial Narrow" w:eastAsia="Calibri" w:hAnsi="Arial Narrow"/>
      <w:sz w:val="22"/>
      <w:szCs w:val="22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450347"/>
    <w:pPr>
      <w:tabs>
        <w:tab w:val="left" w:pos="426"/>
      </w:tabs>
      <w:spacing w:before="120"/>
      <w:ind w:left="360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  <w:style w:type="paragraph" w:customStyle="1" w:styleId="Contenudetableau">
    <w:name w:val="Contenu de tableau"/>
    <w:basedOn w:val="Normal"/>
    <w:rsid w:val="00924C8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74</TotalTime>
  <Pages>2</Pages>
  <Words>998</Words>
  <Characters>5495</Characters>
  <Application>Microsoft Office Word</Application>
  <DocSecurity>8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6481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5</cp:revision>
  <cp:lastPrinted>2021-11-25T15:41:00Z</cp:lastPrinted>
  <dcterms:created xsi:type="dcterms:W3CDTF">2021-11-25T14:01:00Z</dcterms:created>
  <dcterms:modified xsi:type="dcterms:W3CDTF">2021-11-25T15:42:00Z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