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51" w:rsidRPr="00C46751" w:rsidRDefault="00C46751" w:rsidP="00C46751">
      <w:pPr>
        <w:spacing w:before="100" w:beforeAutospacing="1" w:after="100" w:afterAutospacing="1" w:line="240" w:lineRule="auto"/>
        <w:outlineLvl w:val="0"/>
        <w:rPr>
          <w:rFonts w:ascii="Times New Roman" w:eastAsia="Times New Roman" w:hAnsi="Times New Roman"/>
          <w:bCs/>
          <w:kern w:val="36"/>
          <w:sz w:val="28"/>
          <w:szCs w:val="28"/>
        </w:rPr>
      </w:pPr>
      <w:r w:rsidRPr="00C46751">
        <w:rPr>
          <w:rFonts w:ascii="Times New Roman" w:eastAsia="Times New Roman" w:hAnsi="Times New Roman"/>
          <w:bCs/>
          <w:kern w:val="36"/>
          <w:sz w:val="28"/>
          <w:szCs w:val="28"/>
        </w:rPr>
        <w:t>G - ACTIONS EN JUSTICE</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i/>
          <w:iCs/>
          <w:sz w:val="24"/>
          <w:szCs w:val="24"/>
        </w:rPr>
        <w:t>* Astreinte (loi du 9 juillet 1991)</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Sommaire</w:t>
      </w:r>
      <w:r w:rsidRPr="00C46751">
        <w:rPr>
          <w:rFonts w:ascii="Times New Roman" w:eastAsia="Times New Roman" w:hAnsi="Times New Roman"/>
          <w:b w:val="0"/>
          <w:sz w:val="24"/>
          <w:szCs w:val="24"/>
        </w:rPr>
        <w:t xml:space="preserve"> </w:t>
      </w:r>
      <w:r w:rsidRPr="00C46751">
        <w:rPr>
          <w:rFonts w:ascii="Times New Roman" w:eastAsia="Times New Roman" w:hAnsi="Times New Roman"/>
          <w:b w:val="0"/>
          <w:sz w:val="24"/>
          <w:szCs w:val="24"/>
        </w:rPr>
        <w:br/>
      </w:r>
      <w:bookmarkStart w:id="0" w:name="_GoBack"/>
      <w:bookmarkEnd w:id="0"/>
      <w:r w:rsidRPr="00C46751">
        <w:rPr>
          <w:rFonts w:ascii="Times New Roman" w:eastAsia="Times New Roman" w:hAnsi="Times New Roman"/>
          <w:b w:val="0"/>
          <w:sz w:val="24"/>
          <w:szCs w:val="24"/>
        </w:rPr>
        <w:t>L’astreinte, mesure de contrainte destinée à vaincre la résistance opposée à l’exécution d’une injonction, en étant l’accessoire, le jugement rendu sur une demande en paiement d’une somme dont le montant est inférieur au taux du dernier ressort, n’est pas susceptible d’appel lorsque celle-ci est assortie d’une demande d’astreinte.</w:t>
      </w:r>
    </w:p>
    <w:tbl>
      <w:tblPr>
        <w:tblW w:w="0" w:type="auto"/>
        <w:tblCellSpacing w:w="0" w:type="dxa"/>
        <w:tblCellMar>
          <w:left w:w="0" w:type="dxa"/>
          <w:right w:w="0" w:type="dxa"/>
        </w:tblCellMar>
        <w:tblLook w:val="04A0" w:firstRow="1" w:lastRow="0" w:firstColumn="1" w:lastColumn="0" w:noHBand="0" w:noVBand="1"/>
      </w:tblPr>
      <w:tblGrid>
        <w:gridCol w:w="4538"/>
        <w:gridCol w:w="4534"/>
      </w:tblGrid>
      <w:tr w:rsidR="00C46751" w:rsidRPr="00C46751" w:rsidTr="00C46751">
        <w:trPr>
          <w:tblCellSpacing w:w="0" w:type="dxa"/>
        </w:trPr>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Soc., 22 octobre 2014</w:t>
            </w:r>
          </w:p>
        </w:tc>
        <w:tc>
          <w:tcPr>
            <w:tcW w:w="4605" w:type="dxa"/>
            <w:hideMark/>
          </w:tcPr>
          <w:p w:rsidR="00C46751" w:rsidRPr="00C46751" w:rsidRDefault="00C46751" w:rsidP="00C46751">
            <w:pPr>
              <w:spacing w:before="100" w:beforeAutospacing="1" w:after="100" w:afterAutospacing="1" w:line="240" w:lineRule="auto"/>
              <w:jc w:val="right"/>
              <w:rPr>
                <w:rFonts w:ascii="Times New Roman" w:eastAsia="Times New Roman" w:hAnsi="Times New Roman"/>
                <w:b w:val="0"/>
                <w:sz w:val="24"/>
                <w:szCs w:val="24"/>
              </w:rPr>
            </w:pPr>
            <w:r w:rsidRPr="00C46751">
              <w:rPr>
                <w:rFonts w:ascii="Times New Roman" w:eastAsia="Times New Roman" w:hAnsi="Times New Roman"/>
                <w:bCs/>
                <w:sz w:val="24"/>
                <w:szCs w:val="24"/>
              </w:rPr>
              <w:t>Rejet</w:t>
            </w:r>
          </w:p>
        </w:tc>
      </w:tr>
    </w:tbl>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Arrêt n° 1956 FP-P+B+R </w:t>
      </w:r>
      <w:r w:rsidRPr="00C46751">
        <w:rPr>
          <w:rFonts w:ascii="Times New Roman" w:eastAsia="Times New Roman" w:hAnsi="Times New Roman"/>
          <w:b w:val="0"/>
          <w:sz w:val="24"/>
          <w:szCs w:val="24"/>
        </w:rPr>
        <w:t> </w:t>
      </w:r>
      <w:r w:rsidRPr="00C46751">
        <w:rPr>
          <w:rFonts w:ascii="Times New Roman" w:eastAsia="Times New Roman" w:hAnsi="Times New Roman"/>
          <w:bCs/>
          <w:sz w:val="24"/>
          <w:szCs w:val="24"/>
        </w:rPr>
        <w:t> </w:t>
      </w:r>
      <w:r w:rsidRPr="00C46751">
        <w:rPr>
          <w:rFonts w:ascii="Times New Roman" w:eastAsia="Times New Roman" w:hAnsi="Times New Roman"/>
          <w:b w:val="0"/>
          <w:sz w:val="24"/>
          <w:szCs w:val="24"/>
        </w:rPr>
        <w:br/>
        <w:t xml:space="preserve">N° 12-19.587 - C.P.H. Morlaix, 9 mars 2012 </w:t>
      </w:r>
      <w:r w:rsidRPr="00C46751">
        <w:rPr>
          <w:rFonts w:ascii="Times New Roman" w:eastAsia="Times New Roman" w:hAnsi="Times New Roman"/>
          <w:b w:val="0"/>
          <w:sz w:val="24"/>
          <w:szCs w:val="24"/>
        </w:rPr>
        <w:br/>
        <w:t>M. </w:t>
      </w:r>
      <w:proofErr w:type="spellStart"/>
      <w:r w:rsidRPr="00C46751">
        <w:rPr>
          <w:rFonts w:ascii="Times New Roman" w:eastAsia="Times New Roman" w:hAnsi="Times New Roman"/>
          <w:b w:val="0"/>
          <w:sz w:val="24"/>
          <w:szCs w:val="24"/>
        </w:rPr>
        <w:t>Frouin</w:t>
      </w:r>
      <w:proofErr w:type="spellEnd"/>
      <w:r w:rsidRPr="00C46751">
        <w:rPr>
          <w:rFonts w:ascii="Times New Roman" w:eastAsia="Times New Roman" w:hAnsi="Times New Roman"/>
          <w:b w:val="0"/>
          <w:sz w:val="24"/>
          <w:szCs w:val="24"/>
        </w:rPr>
        <w:t xml:space="preserve">, Pt - M. Florès, Rap. - M. Beau, Av. </w:t>
      </w:r>
      <w:proofErr w:type="spellStart"/>
      <w:r w:rsidRPr="00C46751">
        <w:rPr>
          <w:rFonts w:ascii="Times New Roman" w:eastAsia="Times New Roman" w:hAnsi="Times New Roman"/>
          <w:b w:val="0"/>
          <w:sz w:val="24"/>
          <w:szCs w:val="24"/>
        </w:rPr>
        <w:t>Gén</w:t>
      </w:r>
      <w:proofErr w:type="spellEnd"/>
      <w:r w:rsidRPr="00C46751">
        <w:rPr>
          <w:rFonts w:ascii="Times New Roman" w:eastAsia="Times New Roman" w:hAnsi="Times New Roman"/>
          <w:b w:val="0"/>
          <w:sz w:val="24"/>
          <w:szCs w:val="24"/>
        </w:rPr>
        <w:t>.</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 xml:space="preserve">Note </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 xml:space="preserve">La chambre sociale considérait de longue date que l’astreinte étant par nature indéterminée, le jugement statuant sur une telle demande était par nature rendu en premier ressort, en sorte que le pourvoi en cassation n’était pas recevable (Soc., 21 juillet 1993, pourvoi n° 90-41.559 ; Soc., 21 mars 1995, pourvoi n° 93-44.627 ; Soc., 1er avril 1998, pourvoi n° 95-44.996 ; Soc., 8 juillet 2010, pourvoi n° 09-40.904 ; Soc., 13 février 2013, pourvoi n° 12-10.258). Ce n’était que dans l’hypothèse où l’astreinte était neutralisée par un texte spécial, comme l’article R. 1462-1, 2°, du code du travail pour la remise de certains documents sociaux, que celle-ci n’avait aucune incidence sur la détermination des voies de recours. Déjà, la chambre sociale avait jugé sur le fondement de ce texte que lorsqu’elle constitue la conséquence nécessaire d’une demande en paiement chiffrée, la demande tendant à la rectification des bulletins de paie est sans incidence sur l’exercice des voies de recours (Soc., 23 mars 2011, pourvoi n° 09-70.827, </w:t>
      </w:r>
      <w:r w:rsidRPr="00C46751">
        <w:rPr>
          <w:rFonts w:ascii="Times New Roman" w:eastAsia="Times New Roman" w:hAnsi="Times New Roman"/>
          <w:b w:val="0"/>
          <w:i/>
          <w:iCs/>
          <w:sz w:val="24"/>
          <w:szCs w:val="24"/>
        </w:rPr>
        <w:t>Bull</w:t>
      </w:r>
      <w:r w:rsidRPr="00C46751">
        <w:rPr>
          <w:rFonts w:ascii="Times New Roman" w:eastAsia="Times New Roman" w:hAnsi="Times New Roman"/>
          <w:b w:val="0"/>
          <w:sz w:val="24"/>
          <w:szCs w:val="24"/>
        </w:rPr>
        <w:t>. 2011, V, n° 78).</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Par le présent arrêt, la chambre sociale, conformément à l’avis qu’elle avait sollicité, émis par la deuxième chambre civile compétente en matière de procédure civile, considère que lorsqu’une astreinte accompagne une demande en paiement d’une somme dont le montant est inférieur au taux du dernier ressort, l’astreinte n’a pas d’influence sur la qualification du jugement, laquelle dépend du montant ou de la nature des autres demandes.</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i/>
          <w:iCs/>
          <w:sz w:val="24"/>
          <w:szCs w:val="24"/>
        </w:rPr>
        <w:t>* Jugements et arrêts</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Sommaire</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 xml:space="preserve">Viole l’article 19 § 2 du Règlement n°1393/2007 du Parlement Européen et du Conseil du 13 novembre 2007 relatif à la signification et à la notification dans les </w:t>
      </w:r>
      <w:proofErr w:type="spellStart"/>
      <w:r w:rsidRPr="00C46751">
        <w:rPr>
          <w:rFonts w:ascii="Times New Roman" w:eastAsia="Times New Roman" w:hAnsi="Times New Roman"/>
          <w:b w:val="0"/>
          <w:sz w:val="24"/>
          <w:szCs w:val="24"/>
        </w:rPr>
        <w:t>Etats</w:t>
      </w:r>
      <w:proofErr w:type="spellEnd"/>
      <w:r w:rsidRPr="00C46751">
        <w:rPr>
          <w:rFonts w:ascii="Times New Roman" w:eastAsia="Times New Roman" w:hAnsi="Times New Roman"/>
          <w:b w:val="0"/>
          <w:sz w:val="24"/>
          <w:szCs w:val="24"/>
        </w:rPr>
        <w:t xml:space="preserve"> membres des actes judiciaires et extrajudiciaires en matière civile et commerciale, ensemble l’article 479 du code de procédure civile, une cour d’appel qui constate que le Fonds d’indemnisation des travailleurs licenciés en cas de fermeture des entreprises est non comparant et se borne à viser “le Règlement n°1393/2007 du Parlement Européen et du Conseil du 13 novembre 2007 relatif à la signification et à la notification dans les États membres des actes judiciaires et extrajudiciaires en matière civile et commerciale, notamment l’article 14", sans indiquer la date d’envoi de la notification au Fonds d’indemnisation des travailleurs licenciés en cas de </w:t>
      </w:r>
      <w:r w:rsidRPr="00C46751">
        <w:rPr>
          <w:rFonts w:ascii="Times New Roman" w:eastAsia="Times New Roman" w:hAnsi="Times New Roman"/>
          <w:b w:val="0"/>
          <w:sz w:val="24"/>
          <w:szCs w:val="24"/>
        </w:rPr>
        <w:lastRenderedPageBreak/>
        <w:t>fermeture des entreprises ni les diligences faites en vue de donner connaissance de l’acte introductif d’instance à ce défendeur.</w:t>
      </w:r>
    </w:p>
    <w:tbl>
      <w:tblPr>
        <w:tblW w:w="0" w:type="auto"/>
        <w:tblCellSpacing w:w="0" w:type="dxa"/>
        <w:tblCellMar>
          <w:left w:w="0" w:type="dxa"/>
          <w:right w:w="0" w:type="dxa"/>
        </w:tblCellMar>
        <w:tblLook w:val="04A0" w:firstRow="1" w:lastRow="0" w:firstColumn="1" w:lastColumn="0" w:noHBand="0" w:noVBand="1"/>
      </w:tblPr>
      <w:tblGrid>
        <w:gridCol w:w="4534"/>
        <w:gridCol w:w="4538"/>
      </w:tblGrid>
      <w:tr w:rsidR="00C46751" w:rsidRPr="00C46751" w:rsidTr="00C46751">
        <w:trPr>
          <w:tblCellSpacing w:w="0" w:type="dxa"/>
        </w:trPr>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Soc., 8 octobre 2014</w:t>
            </w:r>
          </w:p>
        </w:tc>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Cassation partielle</w:t>
            </w:r>
          </w:p>
        </w:tc>
      </w:tr>
    </w:tbl>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Arrêt n° 1766 FS-P+B</w:t>
      </w:r>
      <w:r w:rsidRPr="00C46751">
        <w:rPr>
          <w:rFonts w:ascii="Times New Roman" w:eastAsia="Times New Roman" w:hAnsi="Times New Roman"/>
          <w:b w:val="0"/>
          <w:sz w:val="24"/>
          <w:szCs w:val="24"/>
        </w:rPr>
        <w:t> </w:t>
      </w:r>
      <w:r w:rsidRPr="00C46751">
        <w:rPr>
          <w:rFonts w:ascii="Times New Roman" w:eastAsia="Times New Roman" w:hAnsi="Times New Roman"/>
          <w:bCs/>
          <w:sz w:val="24"/>
          <w:szCs w:val="24"/>
        </w:rPr>
        <w:t> </w:t>
      </w:r>
      <w:r w:rsidRPr="00C46751">
        <w:rPr>
          <w:rFonts w:ascii="Times New Roman" w:eastAsia="Times New Roman" w:hAnsi="Times New Roman"/>
          <w:b w:val="0"/>
          <w:sz w:val="24"/>
          <w:szCs w:val="24"/>
        </w:rPr>
        <w:br/>
        <w:t>N° 13-16.079 et 13-16.080 - C.A. Douai, 15 février 2013</w:t>
      </w:r>
      <w:r w:rsidRPr="00C46751">
        <w:rPr>
          <w:rFonts w:ascii="Times New Roman" w:eastAsia="Times New Roman" w:hAnsi="Times New Roman"/>
          <w:b w:val="0"/>
          <w:sz w:val="24"/>
          <w:szCs w:val="24"/>
        </w:rPr>
        <w:br/>
        <w:t>M. </w:t>
      </w:r>
      <w:proofErr w:type="spellStart"/>
      <w:r w:rsidRPr="00C46751">
        <w:rPr>
          <w:rFonts w:ascii="Times New Roman" w:eastAsia="Times New Roman" w:hAnsi="Times New Roman"/>
          <w:b w:val="0"/>
          <w:sz w:val="24"/>
          <w:szCs w:val="24"/>
        </w:rPr>
        <w:t>Frouin</w:t>
      </w:r>
      <w:proofErr w:type="spellEnd"/>
      <w:r w:rsidRPr="00C46751">
        <w:rPr>
          <w:rFonts w:ascii="Times New Roman" w:eastAsia="Times New Roman" w:hAnsi="Times New Roman"/>
          <w:b w:val="0"/>
          <w:sz w:val="24"/>
          <w:szCs w:val="24"/>
        </w:rPr>
        <w:t>, Pt - M. </w:t>
      </w:r>
      <w:proofErr w:type="spellStart"/>
      <w:r w:rsidRPr="00C46751">
        <w:rPr>
          <w:rFonts w:ascii="Times New Roman" w:eastAsia="Times New Roman" w:hAnsi="Times New Roman"/>
          <w:b w:val="0"/>
          <w:sz w:val="24"/>
          <w:szCs w:val="24"/>
        </w:rPr>
        <w:t>Huglo</w:t>
      </w:r>
      <w:proofErr w:type="spellEnd"/>
      <w:r w:rsidRPr="00C46751">
        <w:rPr>
          <w:rFonts w:ascii="Times New Roman" w:eastAsia="Times New Roman" w:hAnsi="Times New Roman"/>
          <w:b w:val="0"/>
          <w:sz w:val="24"/>
          <w:szCs w:val="24"/>
        </w:rPr>
        <w:t>, Rap. - M. </w:t>
      </w:r>
      <w:proofErr w:type="spellStart"/>
      <w:r w:rsidRPr="00C46751">
        <w:rPr>
          <w:rFonts w:ascii="Times New Roman" w:eastAsia="Times New Roman" w:hAnsi="Times New Roman"/>
          <w:b w:val="0"/>
          <w:sz w:val="24"/>
          <w:szCs w:val="24"/>
        </w:rPr>
        <w:t>Finielz</w:t>
      </w:r>
      <w:proofErr w:type="spellEnd"/>
      <w:r w:rsidRPr="00C46751">
        <w:rPr>
          <w:rFonts w:ascii="Times New Roman" w:eastAsia="Times New Roman" w:hAnsi="Times New Roman"/>
          <w:b w:val="0"/>
          <w:sz w:val="24"/>
          <w:szCs w:val="24"/>
        </w:rPr>
        <w:t xml:space="preserve">, Pr. Av. </w:t>
      </w:r>
      <w:proofErr w:type="spellStart"/>
      <w:r w:rsidRPr="00C46751">
        <w:rPr>
          <w:rFonts w:ascii="Times New Roman" w:eastAsia="Times New Roman" w:hAnsi="Times New Roman"/>
          <w:b w:val="0"/>
          <w:sz w:val="24"/>
          <w:szCs w:val="24"/>
        </w:rPr>
        <w:t>Gén</w:t>
      </w:r>
      <w:proofErr w:type="spellEnd"/>
      <w:r w:rsidRPr="00C46751">
        <w:rPr>
          <w:rFonts w:ascii="Times New Roman" w:eastAsia="Times New Roman" w:hAnsi="Times New Roman"/>
          <w:b w:val="0"/>
          <w:sz w:val="24"/>
          <w:szCs w:val="24"/>
        </w:rPr>
        <w:t>.</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i/>
          <w:iCs/>
          <w:sz w:val="24"/>
          <w:szCs w:val="24"/>
        </w:rPr>
        <w:t>*Prescription</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Sommaire n°2</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Viole les articles 2224 du code civil et L. 3245-1 du code du travail une cour d’appel qui, pour condamner l’employeur, après avoir accueilli la demande de requalification de contrats précaires en un contrat à durée indéterminée, à régulariser la situation de la salariée auprès des caisses de retraite vieillesse et complémentaire à compter du début de la relation contractuelle de droit privé, retient que l’obligation de l’employeur d’affilier son personnel à un régime de retraite et de régler la totalité des cotisations qui en découlent, qui ne porte pas sur une créance salariale, était soumise, jusqu’à l’entrée en vigueur de la loi du 17 juin 2008 portant réforme de la prescription en matière civile, à la prescription trentenaire, alors que le droit de la salariée au paiement des salaires dus pour la période antérieure au 10 novembre 2005 étant éteint du fait de la prescription extinctive prévue par les articles 2224 du code civil et L. 3245-1 du code du travail, son action en paiement des cotisations de retraite assises sur ces salaires était nécessairement prescrite pour la même période.</w:t>
      </w:r>
    </w:p>
    <w:tbl>
      <w:tblPr>
        <w:tblW w:w="0" w:type="auto"/>
        <w:tblCellSpacing w:w="0" w:type="dxa"/>
        <w:tblCellMar>
          <w:left w:w="0" w:type="dxa"/>
          <w:right w:w="0" w:type="dxa"/>
        </w:tblCellMar>
        <w:tblLook w:val="04A0" w:firstRow="1" w:lastRow="0" w:firstColumn="1" w:lastColumn="0" w:noHBand="0" w:noVBand="1"/>
      </w:tblPr>
      <w:tblGrid>
        <w:gridCol w:w="4534"/>
        <w:gridCol w:w="4538"/>
      </w:tblGrid>
      <w:tr w:rsidR="00C46751" w:rsidRPr="00C46751" w:rsidTr="00C46751">
        <w:trPr>
          <w:tblCellSpacing w:w="0" w:type="dxa"/>
        </w:trPr>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 xml:space="preserve">Soc., 22 octobre 2014 </w:t>
            </w:r>
            <w:r w:rsidRPr="00C46751">
              <w:rPr>
                <w:rFonts w:ascii="Times New Roman" w:eastAsia="Times New Roman" w:hAnsi="Times New Roman"/>
                <w:b w:val="0"/>
                <w:sz w:val="24"/>
                <w:szCs w:val="24"/>
              </w:rPr>
              <w:t> </w:t>
            </w:r>
          </w:p>
        </w:tc>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Cassation partielle</w:t>
            </w:r>
          </w:p>
        </w:tc>
      </w:tr>
    </w:tbl>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Arrêt n° 1866 FS-P+B</w:t>
      </w:r>
      <w:r w:rsidRPr="00C46751">
        <w:rPr>
          <w:rFonts w:ascii="Times New Roman" w:eastAsia="Times New Roman" w:hAnsi="Times New Roman"/>
          <w:b w:val="0"/>
          <w:sz w:val="24"/>
          <w:szCs w:val="24"/>
        </w:rPr>
        <w:t> </w:t>
      </w:r>
      <w:r w:rsidRPr="00C46751">
        <w:rPr>
          <w:rFonts w:ascii="Times New Roman" w:eastAsia="Times New Roman" w:hAnsi="Times New Roman"/>
          <w:bCs/>
          <w:sz w:val="24"/>
          <w:szCs w:val="24"/>
        </w:rPr>
        <w:t> </w:t>
      </w:r>
      <w:r w:rsidRPr="00C46751">
        <w:rPr>
          <w:rFonts w:ascii="Times New Roman" w:eastAsia="Times New Roman" w:hAnsi="Times New Roman"/>
          <w:b w:val="0"/>
          <w:sz w:val="24"/>
          <w:szCs w:val="24"/>
        </w:rPr>
        <w:br/>
        <w:t xml:space="preserve">N° 13-16.936 - C.A. Toulouse, 7 mars 2013 </w:t>
      </w:r>
      <w:r w:rsidRPr="00C46751">
        <w:rPr>
          <w:rFonts w:ascii="Times New Roman" w:eastAsia="Times New Roman" w:hAnsi="Times New Roman"/>
          <w:b w:val="0"/>
          <w:sz w:val="24"/>
          <w:szCs w:val="24"/>
        </w:rPr>
        <w:br/>
        <w:t>M. </w:t>
      </w:r>
      <w:proofErr w:type="spellStart"/>
      <w:r w:rsidRPr="00C46751">
        <w:rPr>
          <w:rFonts w:ascii="Times New Roman" w:eastAsia="Times New Roman" w:hAnsi="Times New Roman"/>
          <w:b w:val="0"/>
          <w:sz w:val="24"/>
          <w:szCs w:val="24"/>
        </w:rPr>
        <w:t>Frouin</w:t>
      </w:r>
      <w:proofErr w:type="spellEnd"/>
      <w:r w:rsidRPr="00C46751">
        <w:rPr>
          <w:rFonts w:ascii="Times New Roman" w:eastAsia="Times New Roman" w:hAnsi="Times New Roman"/>
          <w:b w:val="0"/>
          <w:sz w:val="24"/>
          <w:szCs w:val="24"/>
        </w:rPr>
        <w:t>, Pt - M. </w:t>
      </w:r>
      <w:proofErr w:type="spellStart"/>
      <w:r w:rsidRPr="00C46751">
        <w:rPr>
          <w:rFonts w:ascii="Times New Roman" w:eastAsia="Times New Roman" w:hAnsi="Times New Roman"/>
          <w:b w:val="0"/>
          <w:sz w:val="24"/>
          <w:szCs w:val="24"/>
        </w:rPr>
        <w:t>Huglo</w:t>
      </w:r>
      <w:proofErr w:type="spellEnd"/>
      <w:r w:rsidRPr="00C46751">
        <w:rPr>
          <w:rFonts w:ascii="Times New Roman" w:eastAsia="Times New Roman" w:hAnsi="Times New Roman"/>
          <w:b w:val="0"/>
          <w:sz w:val="24"/>
          <w:szCs w:val="24"/>
        </w:rPr>
        <w:t xml:space="preserve">, Rap. - Mme Lesueur de Givry, Av. </w:t>
      </w:r>
      <w:proofErr w:type="spellStart"/>
      <w:r w:rsidRPr="00C46751">
        <w:rPr>
          <w:rFonts w:ascii="Times New Roman" w:eastAsia="Times New Roman" w:hAnsi="Times New Roman"/>
          <w:b w:val="0"/>
          <w:sz w:val="24"/>
          <w:szCs w:val="24"/>
        </w:rPr>
        <w:t>Gén</w:t>
      </w:r>
      <w:proofErr w:type="spellEnd"/>
      <w:r w:rsidRPr="00C46751">
        <w:rPr>
          <w:rFonts w:ascii="Times New Roman" w:eastAsia="Times New Roman" w:hAnsi="Times New Roman"/>
          <w:b w:val="0"/>
          <w:sz w:val="24"/>
          <w:szCs w:val="24"/>
        </w:rPr>
        <w:t>.</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 xml:space="preserve">Note </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Une salariée a été engagée par La Poste selon plusieurs contrats à durée déterminée successifs puis par un contrat à durée indéterminée intermittent et enfin par un contrat à temps partiel. Elle a saisi la juridiction prud’homale d’une demande de requalification des différents contrats en une relation globale à durée indéterminée ainsi que de diverses demandes de rappels de salaires et de dommages-intérêts, notamment pour discrimination indirecte fondée sur le sexe. L’ensemble de la relation contractuelle ayant été requalifiée, La Poste a été condamnée à régulariser la situation des salariés auprès des caisses de retraite à compter de la date d’embauche. La cour d’appel a en effet considéré que l’obligation pour l’employeur d’affilier son personnel à un régime de retraite et de régler la totalité des cotisations qui en découlent n’était pas une créance salariale soumise à la prescription quinquennale. Elle en a déduit que cette obligation était soumise, jusqu’à la loi du 17 juin 2008, à la prescription trentenaire.</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 xml:space="preserve">Le pourvoi de l’employeur soutenait que la demande tendant à la condamnation de l’employeur à "reconstituer la </w:t>
      </w:r>
      <w:proofErr w:type="spellStart"/>
      <w:r w:rsidRPr="00C46751">
        <w:rPr>
          <w:rFonts w:ascii="Times New Roman" w:eastAsia="Times New Roman" w:hAnsi="Times New Roman"/>
          <w:b w:val="0"/>
          <w:sz w:val="24"/>
          <w:szCs w:val="24"/>
        </w:rPr>
        <w:t>carrière"du</w:t>
      </w:r>
      <w:proofErr w:type="spellEnd"/>
      <w:r w:rsidRPr="00C46751">
        <w:rPr>
          <w:rFonts w:ascii="Times New Roman" w:eastAsia="Times New Roman" w:hAnsi="Times New Roman"/>
          <w:b w:val="0"/>
          <w:sz w:val="24"/>
          <w:szCs w:val="24"/>
        </w:rPr>
        <w:t xml:space="preserve"> salarié auprès des organismes de sécurité sociale et de retraite, formée accessoirement à la demande tendant à la requalification de la relation de </w:t>
      </w:r>
      <w:r w:rsidRPr="00C46751">
        <w:rPr>
          <w:rFonts w:ascii="Times New Roman" w:eastAsia="Times New Roman" w:hAnsi="Times New Roman"/>
          <w:b w:val="0"/>
          <w:sz w:val="24"/>
          <w:szCs w:val="24"/>
        </w:rPr>
        <w:lastRenderedPageBreak/>
        <w:t>travail en un contrat à durée indéterminée et temps complet, s’analyse en une demande de versement aux organismes créanciers des cotisations sociales afférentes aux salaires et se prescrit avec celle en paiement des salaires.</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La Cour de cassation censure la décision des juges du fond en retenant que l’action en paiement des cotisations de retraite relevait dès avant la loi du 17 juin 2008 de la prescription quinquennale, de sorte qu’était prescrite l’action portant sur la période antérieure aux cinq années précédant la saisine de la juridiction prud’homale : « </w:t>
      </w:r>
      <w:r w:rsidRPr="00C46751">
        <w:rPr>
          <w:rFonts w:ascii="Times New Roman" w:eastAsia="Times New Roman" w:hAnsi="Times New Roman"/>
          <w:b w:val="0"/>
          <w:i/>
          <w:iCs/>
          <w:sz w:val="24"/>
          <w:szCs w:val="24"/>
        </w:rPr>
        <w:t>le droit de la salariée au paiement des salaires dus pour la période antérieure au 10 novembre 2005 étant éteint du fait de la prescription extinctive prévue par les articles 2224 du code civil et L. 3245-1 du code du travail, son action en paiement des cotisations de retraite assises sur ces salaires était nécessairement prescrite pour la même période </w:t>
      </w:r>
      <w:r w:rsidRPr="00C46751">
        <w:rPr>
          <w:rFonts w:ascii="Times New Roman" w:eastAsia="Times New Roman" w:hAnsi="Times New Roman"/>
          <w:b w:val="0"/>
          <w:sz w:val="24"/>
          <w:szCs w:val="24"/>
        </w:rPr>
        <w:t> ».</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La chambre sociale s’était déjà prononcée à deux reprises dans des affaires opposant La Poste à ses salariés relativement à la reconstitution de carrière auprès des caisses de retraite à la suite d’une requalification de la relation contractuelle. Dans le premier arrêt, elle avait retenu que « </w:t>
      </w:r>
      <w:r w:rsidRPr="00C46751">
        <w:rPr>
          <w:rFonts w:ascii="Times New Roman" w:eastAsia="Times New Roman" w:hAnsi="Times New Roman"/>
          <w:b w:val="0"/>
          <w:i/>
          <w:iCs/>
          <w:sz w:val="24"/>
          <w:szCs w:val="24"/>
        </w:rPr>
        <w:t>l’obligation de l’employeur d’affilier son personnel à un régime de retraite et de régler les cotisations qui en découlent est soumise à la prescription trentenaire</w:t>
      </w:r>
      <w:r w:rsidRPr="00C46751">
        <w:rPr>
          <w:rFonts w:ascii="Times New Roman" w:eastAsia="Times New Roman" w:hAnsi="Times New Roman"/>
          <w:b w:val="0"/>
          <w:sz w:val="24"/>
          <w:szCs w:val="24"/>
        </w:rPr>
        <w:t> » (Soc., 13 avril 2010, pourvoi n° 09-41.508), reprenant la solution adoptée en matière de régularisation par l’employeur de la situation d’un salarié au regard du régime de retraite de base et complémentaire suite à un défaut d’affiliation (Soc., 8 décembre 2010, pourvoi n° 08-70.269 ; Soc., 28 mai 2008, pourvoi n° 07-40.021). En revanche, dans le second arrêt, elle avait considéré que le droit de la salariée au paiement des salaires était éteint du fait de la prescription extinctive prévue par les articles 2277 du code civil et L. 143-14 du code du travail antérieurement applicables et par conséquent approuvé la cour d’appel d’avoir décidé que l’action en paiement des cotisations de retraite assises sur ces salaires était nécessairement prescrite (Soc., 16 juin 2010, pourvois n° 08-45.618 et 08-45.589).</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La Cour de cassation affirme à l’occasion de la présente affaire que la prescription de l’action en paiement des cotisations de retraite est alignée sur celle de l’action en paiement des salaires.</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i/>
          <w:iCs/>
          <w:sz w:val="24"/>
          <w:szCs w:val="24"/>
        </w:rPr>
        <w:t>*Preuve - moyens de preuve (licéité ou non)</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Sommaire</w:t>
      </w:r>
      <w:r w:rsidRPr="00C46751">
        <w:rPr>
          <w:rFonts w:ascii="Times New Roman" w:eastAsia="Times New Roman" w:hAnsi="Times New Roman"/>
          <w:b w:val="0"/>
          <w:sz w:val="24"/>
          <w:szCs w:val="24"/>
        </w:rPr>
        <w:t> </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Constituent un moyen de preuve illicite les informations collectées par un système de traitement automatisé de données personnelles avant sa déclaration à la CNIL.</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Encourt la cassation l’arrêt qui, pour retenir la faute du salarié, se fonde uniquement sur des éléments de preuve obtenus à l’aide d’un tel système alors que l’illicéité d’un moyen de preuve doit entraîner son rejet des débats.</w:t>
      </w:r>
    </w:p>
    <w:tbl>
      <w:tblPr>
        <w:tblW w:w="0" w:type="auto"/>
        <w:tblCellSpacing w:w="0" w:type="dxa"/>
        <w:tblCellMar>
          <w:left w:w="0" w:type="dxa"/>
          <w:right w:w="0" w:type="dxa"/>
        </w:tblCellMar>
        <w:tblLook w:val="04A0" w:firstRow="1" w:lastRow="0" w:firstColumn="1" w:lastColumn="0" w:noHBand="0" w:noVBand="1"/>
      </w:tblPr>
      <w:tblGrid>
        <w:gridCol w:w="4534"/>
        <w:gridCol w:w="4538"/>
      </w:tblGrid>
      <w:tr w:rsidR="00C46751" w:rsidRPr="00C46751" w:rsidTr="00C46751">
        <w:trPr>
          <w:tblCellSpacing w:w="0" w:type="dxa"/>
        </w:trPr>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Soc., 8 octobre 2014</w:t>
            </w:r>
          </w:p>
        </w:tc>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Cassation partielle</w:t>
            </w:r>
          </w:p>
        </w:tc>
      </w:tr>
    </w:tbl>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Arrêt n° 1738 FS-P+B</w:t>
      </w:r>
      <w:r w:rsidRPr="00C46751">
        <w:rPr>
          <w:rFonts w:ascii="Times New Roman" w:eastAsia="Times New Roman" w:hAnsi="Times New Roman"/>
          <w:b w:val="0"/>
          <w:sz w:val="24"/>
          <w:szCs w:val="24"/>
        </w:rPr>
        <w:t> </w:t>
      </w:r>
      <w:r w:rsidRPr="00C46751">
        <w:rPr>
          <w:rFonts w:ascii="Times New Roman" w:eastAsia="Times New Roman" w:hAnsi="Times New Roman"/>
          <w:bCs/>
          <w:sz w:val="24"/>
          <w:szCs w:val="24"/>
        </w:rPr>
        <w:t> </w:t>
      </w:r>
      <w:r w:rsidRPr="00C46751">
        <w:rPr>
          <w:rFonts w:ascii="Times New Roman" w:eastAsia="Times New Roman" w:hAnsi="Times New Roman"/>
          <w:b w:val="0"/>
          <w:sz w:val="24"/>
          <w:szCs w:val="24"/>
        </w:rPr>
        <w:br/>
        <w:t>N°13-14.991- C.A. Amiens, 29 janvier 2013</w:t>
      </w:r>
      <w:r w:rsidRPr="00C46751">
        <w:rPr>
          <w:rFonts w:ascii="Times New Roman" w:eastAsia="Times New Roman" w:hAnsi="Times New Roman"/>
          <w:b w:val="0"/>
          <w:sz w:val="24"/>
          <w:szCs w:val="24"/>
        </w:rPr>
        <w:br/>
        <w:t>M. </w:t>
      </w:r>
      <w:proofErr w:type="spellStart"/>
      <w:r w:rsidRPr="00C46751">
        <w:rPr>
          <w:rFonts w:ascii="Times New Roman" w:eastAsia="Times New Roman" w:hAnsi="Times New Roman"/>
          <w:b w:val="0"/>
          <w:sz w:val="24"/>
          <w:szCs w:val="24"/>
        </w:rPr>
        <w:t>Frouin</w:t>
      </w:r>
      <w:proofErr w:type="spellEnd"/>
      <w:r w:rsidRPr="00C46751">
        <w:rPr>
          <w:rFonts w:ascii="Times New Roman" w:eastAsia="Times New Roman" w:hAnsi="Times New Roman"/>
          <w:b w:val="0"/>
          <w:sz w:val="24"/>
          <w:szCs w:val="24"/>
        </w:rPr>
        <w:t>, Pt - M. Contamine, Rap. - M. </w:t>
      </w:r>
      <w:proofErr w:type="spellStart"/>
      <w:r w:rsidRPr="00C46751">
        <w:rPr>
          <w:rFonts w:ascii="Times New Roman" w:eastAsia="Times New Roman" w:hAnsi="Times New Roman"/>
          <w:b w:val="0"/>
          <w:sz w:val="24"/>
          <w:szCs w:val="24"/>
        </w:rPr>
        <w:t>Weissmann</w:t>
      </w:r>
      <w:proofErr w:type="spellEnd"/>
      <w:r w:rsidRPr="00C46751">
        <w:rPr>
          <w:rFonts w:ascii="Times New Roman" w:eastAsia="Times New Roman" w:hAnsi="Times New Roman"/>
          <w:b w:val="0"/>
          <w:sz w:val="24"/>
          <w:szCs w:val="24"/>
        </w:rPr>
        <w:t xml:space="preserve">, Av. </w:t>
      </w:r>
      <w:proofErr w:type="spellStart"/>
      <w:r w:rsidRPr="00C46751">
        <w:rPr>
          <w:rFonts w:ascii="Times New Roman" w:eastAsia="Times New Roman" w:hAnsi="Times New Roman"/>
          <w:b w:val="0"/>
          <w:sz w:val="24"/>
          <w:szCs w:val="24"/>
        </w:rPr>
        <w:t>Gén</w:t>
      </w:r>
      <w:proofErr w:type="spellEnd"/>
      <w:r w:rsidRPr="00C46751">
        <w:rPr>
          <w:rFonts w:ascii="Times New Roman" w:eastAsia="Times New Roman" w:hAnsi="Times New Roman"/>
          <w:b w:val="0"/>
          <w:sz w:val="24"/>
          <w:szCs w:val="24"/>
        </w:rPr>
        <w:t>.</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i/>
          <w:iCs/>
          <w:sz w:val="24"/>
          <w:szCs w:val="24"/>
        </w:rPr>
        <w:t>*Unicité de l’instance</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lastRenderedPageBreak/>
        <w:t>Sommaire</w:t>
      </w:r>
    </w:p>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 w:val="0"/>
          <w:sz w:val="24"/>
          <w:szCs w:val="24"/>
        </w:rPr>
        <w:t>Doit être cassé, pour violation des articles R. 1452-6 et R. 1452-7 du code du travail, l’arrêt qui renvoie devant le conseil de prud’hommes l’examen des demandes relatives au licenciement intervenu en cours de procédure postérieurement au prononcé du jugement, alors, d’une part, que toutes les demandes dérivant du même contrat de travail entre les mêmes parties doivent faire l’objet d’une même instance et que les demandes nouvelles sont recevables en appel, et d’autre part, que si les causes du second litige en étaient connues avant la clôture des débats devant la cour d’appel, les parties, qui avaient eu la possibilité de présenter leurs prétentions et moyens de défense, n’ont pas été privées de leur droit d’accès au juge.</w:t>
      </w:r>
    </w:p>
    <w:tbl>
      <w:tblPr>
        <w:tblW w:w="0" w:type="auto"/>
        <w:tblCellSpacing w:w="0" w:type="dxa"/>
        <w:tblCellMar>
          <w:left w:w="0" w:type="dxa"/>
          <w:right w:w="0" w:type="dxa"/>
        </w:tblCellMar>
        <w:tblLook w:val="04A0" w:firstRow="1" w:lastRow="0" w:firstColumn="1" w:lastColumn="0" w:noHBand="0" w:noVBand="1"/>
      </w:tblPr>
      <w:tblGrid>
        <w:gridCol w:w="4534"/>
        <w:gridCol w:w="4538"/>
      </w:tblGrid>
      <w:tr w:rsidR="00C46751" w:rsidRPr="00C46751" w:rsidTr="00C46751">
        <w:trPr>
          <w:tblCellSpacing w:w="0" w:type="dxa"/>
        </w:trPr>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Soc., 21 octobre 2014 </w:t>
            </w:r>
          </w:p>
        </w:tc>
        <w:tc>
          <w:tcPr>
            <w:tcW w:w="4605" w:type="dxa"/>
            <w:hideMark/>
          </w:tcPr>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Cassation partielle </w:t>
            </w:r>
          </w:p>
        </w:tc>
      </w:tr>
    </w:tbl>
    <w:p w:rsidR="00C46751" w:rsidRPr="00C46751" w:rsidRDefault="00C46751" w:rsidP="00C46751">
      <w:pPr>
        <w:spacing w:before="100" w:beforeAutospacing="1" w:after="100" w:afterAutospacing="1" w:line="240" w:lineRule="auto"/>
        <w:jc w:val="both"/>
        <w:rPr>
          <w:rFonts w:ascii="Times New Roman" w:eastAsia="Times New Roman" w:hAnsi="Times New Roman"/>
          <w:b w:val="0"/>
          <w:sz w:val="24"/>
          <w:szCs w:val="24"/>
        </w:rPr>
      </w:pPr>
      <w:r w:rsidRPr="00C46751">
        <w:rPr>
          <w:rFonts w:ascii="Times New Roman" w:eastAsia="Times New Roman" w:hAnsi="Times New Roman"/>
          <w:bCs/>
          <w:sz w:val="24"/>
          <w:szCs w:val="24"/>
        </w:rPr>
        <w:t>Arrêt n° 1827 F - P+B </w:t>
      </w:r>
      <w:r w:rsidRPr="00C46751">
        <w:rPr>
          <w:rFonts w:ascii="Times New Roman" w:eastAsia="Times New Roman" w:hAnsi="Times New Roman"/>
          <w:b w:val="0"/>
          <w:sz w:val="24"/>
          <w:szCs w:val="24"/>
        </w:rPr>
        <w:t xml:space="preserve"> </w:t>
      </w:r>
      <w:r w:rsidRPr="00C46751">
        <w:rPr>
          <w:rFonts w:ascii="Times New Roman" w:eastAsia="Times New Roman" w:hAnsi="Times New Roman"/>
          <w:b w:val="0"/>
          <w:sz w:val="24"/>
          <w:szCs w:val="24"/>
        </w:rPr>
        <w:br/>
        <w:t>N° 13-19.786 - C.A. Paris, 18 avril 2013</w:t>
      </w:r>
      <w:r w:rsidRPr="00C46751">
        <w:rPr>
          <w:rFonts w:ascii="Times New Roman" w:eastAsia="Times New Roman" w:hAnsi="Times New Roman"/>
          <w:b w:val="0"/>
          <w:sz w:val="24"/>
          <w:szCs w:val="24"/>
        </w:rPr>
        <w:br/>
        <w:t>M. </w:t>
      </w:r>
      <w:proofErr w:type="spellStart"/>
      <w:r w:rsidRPr="00C46751">
        <w:rPr>
          <w:rFonts w:ascii="Times New Roman" w:eastAsia="Times New Roman" w:hAnsi="Times New Roman"/>
          <w:b w:val="0"/>
          <w:sz w:val="24"/>
          <w:szCs w:val="24"/>
        </w:rPr>
        <w:t>Frouin</w:t>
      </w:r>
      <w:proofErr w:type="spellEnd"/>
      <w:r w:rsidRPr="00C46751">
        <w:rPr>
          <w:rFonts w:ascii="Times New Roman" w:eastAsia="Times New Roman" w:hAnsi="Times New Roman"/>
          <w:b w:val="0"/>
          <w:sz w:val="24"/>
          <w:szCs w:val="24"/>
        </w:rPr>
        <w:t>, Pt. - Mme </w:t>
      </w:r>
      <w:proofErr w:type="spellStart"/>
      <w:r w:rsidRPr="00C46751">
        <w:rPr>
          <w:rFonts w:ascii="Times New Roman" w:eastAsia="Times New Roman" w:hAnsi="Times New Roman"/>
          <w:b w:val="0"/>
          <w:sz w:val="24"/>
          <w:szCs w:val="24"/>
        </w:rPr>
        <w:t>Schmeitzky-Lhuillery</w:t>
      </w:r>
      <w:proofErr w:type="spellEnd"/>
      <w:r w:rsidRPr="00C46751">
        <w:rPr>
          <w:rFonts w:ascii="Times New Roman" w:eastAsia="Times New Roman" w:hAnsi="Times New Roman"/>
          <w:b w:val="0"/>
          <w:sz w:val="24"/>
          <w:szCs w:val="24"/>
        </w:rPr>
        <w:t>, Rap. Mme </w:t>
      </w:r>
      <w:proofErr w:type="spellStart"/>
      <w:r w:rsidRPr="00C46751">
        <w:rPr>
          <w:rFonts w:ascii="Times New Roman" w:eastAsia="Times New Roman" w:hAnsi="Times New Roman"/>
          <w:b w:val="0"/>
          <w:sz w:val="24"/>
          <w:szCs w:val="24"/>
        </w:rPr>
        <w:t>Courcol</w:t>
      </w:r>
      <w:proofErr w:type="spellEnd"/>
      <w:r w:rsidRPr="00C46751">
        <w:rPr>
          <w:rFonts w:ascii="Times New Roman" w:eastAsia="Times New Roman" w:hAnsi="Times New Roman"/>
          <w:b w:val="0"/>
          <w:sz w:val="24"/>
          <w:szCs w:val="24"/>
        </w:rPr>
        <w:t xml:space="preserve">-Bouchard, Av. </w:t>
      </w:r>
      <w:proofErr w:type="spellStart"/>
      <w:r w:rsidRPr="00C46751">
        <w:rPr>
          <w:rFonts w:ascii="Times New Roman" w:eastAsia="Times New Roman" w:hAnsi="Times New Roman"/>
          <w:b w:val="0"/>
          <w:sz w:val="24"/>
          <w:szCs w:val="24"/>
        </w:rPr>
        <w:t>gén</w:t>
      </w:r>
      <w:proofErr w:type="spellEnd"/>
      <w:r w:rsidRPr="00C46751">
        <w:rPr>
          <w:rFonts w:ascii="Times New Roman" w:eastAsia="Times New Roman" w:hAnsi="Times New Roman"/>
          <w:b w:val="0"/>
          <w:sz w:val="24"/>
          <w:szCs w:val="24"/>
        </w:rPr>
        <w:t>.</w:t>
      </w:r>
    </w:p>
    <w:p w:rsidR="00E62FE8" w:rsidRDefault="00C46751">
      <w:hyperlink r:id="rId8" w:history="1">
        <w:r w:rsidRPr="00D21093">
          <w:rPr>
            <w:rStyle w:val="Lienhypertexte"/>
          </w:rPr>
          <w:t>https://www.courdecassation.fr/publications_26/mensuel_droit_travail_2230/mensuel_droit_travail_2014_6637/travail_n_6997/g_actions_justice_30922.html</w:t>
        </w:r>
      </w:hyperlink>
    </w:p>
    <w:p w:rsidR="00C46751" w:rsidRDefault="00C46751"/>
    <w:sectPr w:rsidR="00C4675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2B" w:rsidRDefault="00E06A2B" w:rsidP="00836D94">
      <w:pPr>
        <w:spacing w:after="0" w:line="240" w:lineRule="auto"/>
      </w:pPr>
      <w:r>
        <w:separator/>
      </w:r>
    </w:p>
  </w:endnote>
  <w:endnote w:type="continuationSeparator" w:id="0">
    <w:p w:rsidR="00E06A2B" w:rsidRDefault="00E06A2B" w:rsidP="0083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688645"/>
      <w:docPartObj>
        <w:docPartGallery w:val="Page Numbers (Bottom of Page)"/>
        <w:docPartUnique/>
      </w:docPartObj>
    </w:sdtPr>
    <w:sdtContent>
      <w:p w:rsidR="00836D94" w:rsidRDefault="00836D94">
        <w:pPr>
          <w:pStyle w:val="Pieddepage"/>
          <w:jc w:val="right"/>
        </w:pPr>
        <w:r>
          <w:fldChar w:fldCharType="begin"/>
        </w:r>
        <w:r>
          <w:instrText>PAGE   \* MERGEFORMAT</w:instrText>
        </w:r>
        <w:r>
          <w:fldChar w:fldCharType="separate"/>
        </w:r>
        <w:r>
          <w:rPr>
            <w:noProof/>
          </w:rPr>
          <w:t>1</w:t>
        </w:r>
        <w:r>
          <w:fldChar w:fldCharType="end"/>
        </w:r>
      </w:p>
    </w:sdtContent>
  </w:sdt>
  <w:p w:rsidR="00836D94" w:rsidRDefault="00836D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2B" w:rsidRDefault="00E06A2B" w:rsidP="00836D94">
      <w:pPr>
        <w:spacing w:after="0" w:line="240" w:lineRule="auto"/>
      </w:pPr>
      <w:r>
        <w:separator/>
      </w:r>
    </w:p>
  </w:footnote>
  <w:footnote w:type="continuationSeparator" w:id="0">
    <w:p w:rsidR="00E06A2B" w:rsidRDefault="00E06A2B" w:rsidP="00836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6811"/>
    <w:multiLevelType w:val="multilevel"/>
    <w:tmpl w:val="3130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287759"/>
    <w:multiLevelType w:val="multilevel"/>
    <w:tmpl w:val="E5D4A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51"/>
    <w:rsid w:val="003564BE"/>
    <w:rsid w:val="006B1557"/>
    <w:rsid w:val="00836D94"/>
    <w:rsid w:val="00C46751"/>
    <w:rsid w:val="00E06A2B"/>
    <w:rsid w:val="00E62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Calibri" w:hAnsi="Arial Narrow" w:cs="Times New Roma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6751"/>
    <w:rPr>
      <w:color w:val="0000FF" w:themeColor="hyperlink"/>
      <w:u w:val="single"/>
    </w:rPr>
  </w:style>
  <w:style w:type="paragraph" w:styleId="En-tte">
    <w:name w:val="header"/>
    <w:basedOn w:val="Normal"/>
    <w:link w:val="En-tteCar"/>
    <w:uiPriority w:val="99"/>
    <w:unhideWhenUsed/>
    <w:rsid w:val="00836D94"/>
    <w:pPr>
      <w:tabs>
        <w:tab w:val="center" w:pos="4536"/>
        <w:tab w:val="right" w:pos="9072"/>
      </w:tabs>
      <w:spacing w:after="0" w:line="240" w:lineRule="auto"/>
    </w:pPr>
  </w:style>
  <w:style w:type="character" w:customStyle="1" w:styleId="En-tteCar">
    <w:name w:val="En-tête Car"/>
    <w:basedOn w:val="Policepardfaut"/>
    <w:link w:val="En-tte"/>
    <w:uiPriority w:val="99"/>
    <w:rsid w:val="00836D94"/>
    <w:rPr>
      <w:b/>
      <w:lang w:eastAsia="fr-FR"/>
    </w:rPr>
  </w:style>
  <w:style w:type="paragraph" w:styleId="Pieddepage">
    <w:name w:val="footer"/>
    <w:basedOn w:val="Normal"/>
    <w:link w:val="PieddepageCar"/>
    <w:uiPriority w:val="99"/>
    <w:unhideWhenUsed/>
    <w:rsid w:val="00836D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D94"/>
    <w:rPr>
      <w:b/>
      <w:lang w:eastAsia="fr-FR"/>
    </w:rPr>
  </w:style>
  <w:style w:type="paragraph" w:styleId="Textedebulles">
    <w:name w:val="Balloon Text"/>
    <w:basedOn w:val="Normal"/>
    <w:link w:val="TextedebullesCar"/>
    <w:uiPriority w:val="99"/>
    <w:semiHidden/>
    <w:unhideWhenUsed/>
    <w:rsid w:val="00836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6D94"/>
    <w:rPr>
      <w:rFonts w:ascii="Tahoma" w:hAnsi="Tahoma" w:cs="Tahoma"/>
      <w:b/>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Calibri" w:hAnsi="Arial Narrow" w:cs="Times New Roma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6751"/>
    <w:rPr>
      <w:color w:val="0000FF" w:themeColor="hyperlink"/>
      <w:u w:val="single"/>
    </w:rPr>
  </w:style>
  <w:style w:type="paragraph" w:styleId="En-tte">
    <w:name w:val="header"/>
    <w:basedOn w:val="Normal"/>
    <w:link w:val="En-tteCar"/>
    <w:uiPriority w:val="99"/>
    <w:unhideWhenUsed/>
    <w:rsid w:val="00836D94"/>
    <w:pPr>
      <w:tabs>
        <w:tab w:val="center" w:pos="4536"/>
        <w:tab w:val="right" w:pos="9072"/>
      </w:tabs>
      <w:spacing w:after="0" w:line="240" w:lineRule="auto"/>
    </w:pPr>
  </w:style>
  <w:style w:type="character" w:customStyle="1" w:styleId="En-tteCar">
    <w:name w:val="En-tête Car"/>
    <w:basedOn w:val="Policepardfaut"/>
    <w:link w:val="En-tte"/>
    <w:uiPriority w:val="99"/>
    <w:rsid w:val="00836D94"/>
    <w:rPr>
      <w:b/>
      <w:lang w:eastAsia="fr-FR"/>
    </w:rPr>
  </w:style>
  <w:style w:type="paragraph" w:styleId="Pieddepage">
    <w:name w:val="footer"/>
    <w:basedOn w:val="Normal"/>
    <w:link w:val="PieddepageCar"/>
    <w:uiPriority w:val="99"/>
    <w:unhideWhenUsed/>
    <w:rsid w:val="00836D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D94"/>
    <w:rPr>
      <w:b/>
      <w:lang w:eastAsia="fr-FR"/>
    </w:rPr>
  </w:style>
  <w:style w:type="paragraph" w:styleId="Textedebulles">
    <w:name w:val="Balloon Text"/>
    <w:basedOn w:val="Normal"/>
    <w:link w:val="TextedebullesCar"/>
    <w:uiPriority w:val="99"/>
    <w:semiHidden/>
    <w:unhideWhenUsed/>
    <w:rsid w:val="00836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6D94"/>
    <w:rPr>
      <w:rFonts w:ascii="Tahoma" w:hAnsi="Tahoma" w:cs="Tahoma"/>
      <w:b/>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91029">
      <w:bodyDiv w:val="1"/>
      <w:marLeft w:val="0"/>
      <w:marRight w:val="0"/>
      <w:marTop w:val="0"/>
      <w:marBottom w:val="0"/>
      <w:divBdr>
        <w:top w:val="none" w:sz="0" w:space="0" w:color="auto"/>
        <w:left w:val="none" w:sz="0" w:space="0" w:color="auto"/>
        <w:bottom w:val="none" w:sz="0" w:space="0" w:color="auto"/>
        <w:right w:val="none" w:sz="0" w:space="0" w:color="auto"/>
      </w:divBdr>
      <w:divsChild>
        <w:div w:id="1894654381">
          <w:marLeft w:val="0"/>
          <w:marRight w:val="0"/>
          <w:marTop w:val="0"/>
          <w:marBottom w:val="0"/>
          <w:divBdr>
            <w:top w:val="none" w:sz="0" w:space="0" w:color="auto"/>
            <w:left w:val="none" w:sz="0" w:space="0" w:color="auto"/>
            <w:bottom w:val="none" w:sz="0" w:space="0" w:color="auto"/>
            <w:right w:val="none" w:sz="0" w:space="0" w:color="auto"/>
          </w:divBdr>
          <w:divsChild>
            <w:div w:id="316492461">
              <w:marLeft w:val="0"/>
              <w:marRight w:val="0"/>
              <w:marTop w:val="0"/>
              <w:marBottom w:val="0"/>
              <w:divBdr>
                <w:top w:val="none" w:sz="0" w:space="0" w:color="auto"/>
                <w:left w:val="none" w:sz="0" w:space="0" w:color="auto"/>
                <w:bottom w:val="none" w:sz="0" w:space="0" w:color="auto"/>
                <w:right w:val="none" w:sz="0" w:space="0" w:color="auto"/>
              </w:divBdr>
              <w:divsChild>
                <w:div w:id="19822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62">
          <w:marLeft w:val="0"/>
          <w:marRight w:val="0"/>
          <w:marTop w:val="0"/>
          <w:marBottom w:val="0"/>
          <w:divBdr>
            <w:top w:val="none" w:sz="0" w:space="0" w:color="auto"/>
            <w:left w:val="none" w:sz="0" w:space="0" w:color="auto"/>
            <w:bottom w:val="none" w:sz="0" w:space="0" w:color="auto"/>
            <w:right w:val="none" w:sz="0" w:space="0" w:color="auto"/>
          </w:divBdr>
          <w:divsChild>
            <w:div w:id="1033462844">
              <w:marLeft w:val="0"/>
              <w:marRight w:val="0"/>
              <w:marTop w:val="0"/>
              <w:marBottom w:val="0"/>
              <w:divBdr>
                <w:top w:val="none" w:sz="0" w:space="0" w:color="auto"/>
                <w:left w:val="none" w:sz="0" w:space="0" w:color="auto"/>
                <w:bottom w:val="none" w:sz="0" w:space="0" w:color="auto"/>
                <w:right w:val="none" w:sz="0" w:space="0" w:color="auto"/>
              </w:divBdr>
              <w:divsChild>
                <w:div w:id="1683967433">
                  <w:marLeft w:val="0"/>
                  <w:marRight w:val="0"/>
                  <w:marTop w:val="0"/>
                  <w:marBottom w:val="0"/>
                  <w:divBdr>
                    <w:top w:val="none" w:sz="0" w:space="0" w:color="auto"/>
                    <w:left w:val="none" w:sz="0" w:space="0" w:color="auto"/>
                    <w:bottom w:val="none" w:sz="0" w:space="0" w:color="auto"/>
                    <w:right w:val="none" w:sz="0" w:space="0" w:color="auto"/>
                  </w:divBdr>
                  <w:divsChild>
                    <w:div w:id="1991129338">
                      <w:marLeft w:val="0"/>
                      <w:marRight w:val="0"/>
                      <w:marTop w:val="0"/>
                      <w:marBottom w:val="0"/>
                      <w:divBdr>
                        <w:top w:val="none" w:sz="0" w:space="0" w:color="auto"/>
                        <w:left w:val="none" w:sz="0" w:space="0" w:color="auto"/>
                        <w:bottom w:val="none" w:sz="0" w:space="0" w:color="auto"/>
                        <w:right w:val="none" w:sz="0" w:space="0" w:color="auto"/>
                      </w:divBdr>
                      <w:divsChild>
                        <w:div w:id="1339385304">
                          <w:marLeft w:val="0"/>
                          <w:marRight w:val="0"/>
                          <w:marTop w:val="0"/>
                          <w:marBottom w:val="0"/>
                          <w:divBdr>
                            <w:top w:val="none" w:sz="0" w:space="0" w:color="auto"/>
                            <w:left w:val="none" w:sz="0" w:space="0" w:color="auto"/>
                            <w:bottom w:val="none" w:sz="0" w:space="0" w:color="auto"/>
                            <w:right w:val="none" w:sz="0" w:space="0" w:color="auto"/>
                          </w:divBdr>
                        </w:div>
                        <w:div w:id="979265523">
                          <w:marLeft w:val="0"/>
                          <w:marRight w:val="0"/>
                          <w:marTop w:val="0"/>
                          <w:marBottom w:val="0"/>
                          <w:divBdr>
                            <w:top w:val="none" w:sz="0" w:space="0" w:color="auto"/>
                            <w:left w:val="none" w:sz="0" w:space="0" w:color="auto"/>
                            <w:bottom w:val="none" w:sz="0" w:space="0" w:color="auto"/>
                            <w:right w:val="none" w:sz="0" w:space="0" w:color="auto"/>
                          </w:divBdr>
                        </w:div>
                        <w:div w:id="2107456031">
                          <w:marLeft w:val="0"/>
                          <w:marRight w:val="0"/>
                          <w:marTop w:val="0"/>
                          <w:marBottom w:val="0"/>
                          <w:divBdr>
                            <w:top w:val="none" w:sz="0" w:space="0" w:color="auto"/>
                            <w:left w:val="none" w:sz="0" w:space="0" w:color="auto"/>
                            <w:bottom w:val="none" w:sz="0" w:space="0" w:color="auto"/>
                            <w:right w:val="none" w:sz="0" w:space="0" w:color="auto"/>
                          </w:divBdr>
                        </w:div>
                        <w:div w:id="1307975781">
                          <w:marLeft w:val="0"/>
                          <w:marRight w:val="0"/>
                          <w:marTop w:val="0"/>
                          <w:marBottom w:val="0"/>
                          <w:divBdr>
                            <w:top w:val="none" w:sz="0" w:space="0" w:color="auto"/>
                            <w:left w:val="none" w:sz="0" w:space="0" w:color="auto"/>
                            <w:bottom w:val="none" w:sz="0" w:space="0" w:color="auto"/>
                            <w:right w:val="none" w:sz="0" w:space="0" w:color="auto"/>
                          </w:divBdr>
                        </w:div>
                        <w:div w:id="1095320413">
                          <w:marLeft w:val="0"/>
                          <w:marRight w:val="0"/>
                          <w:marTop w:val="0"/>
                          <w:marBottom w:val="0"/>
                          <w:divBdr>
                            <w:top w:val="none" w:sz="0" w:space="0" w:color="auto"/>
                            <w:left w:val="none" w:sz="0" w:space="0" w:color="auto"/>
                            <w:bottom w:val="none" w:sz="0" w:space="0" w:color="auto"/>
                            <w:right w:val="none" w:sz="0" w:space="0" w:color="auto"/>
                          </w:divBdr>
                        </w:div>
                        <w:div w:id="1662809904">
                          <w:marLeft w:val="0"/>
                          <w:marRight w:val="0"/>
                          <w:marTop w:val="0"/>
                          <w:marBottom w:val="0"/>
                          <w:divBdr>
                            <w:top w:val="none" w:sz="0" w:space="0" w:color="auto"/>
                            <w:left w:val="none" w:sz="0" w:space="0" w:color="auto"/>
                            <w:bottom w:val="none" w:sz="0" w:space="0" w:color="auto"/>
                            <w:right w:val="none" w:sz="0" w:space="0" w:color="auto"/>
                          </w:divBdr>
                        </w:div>
                        <w:div w:id="219246737">
                          <w:marLeft w:val="0"/>
                          <w:marRight w:val="0"/>
                          <w:marTop w:val="0"/>
                          <w:marBottom w:val="0"/>
                          <w:divBdr>
                            <w:top w:val="none" w:sz="0" w:space="0" w:color="auto"/>
                            <w:left w:val="none" w:sz="0" w:space="0" w:color="auto"/>
                            <w:bottom w:val="none" w:sz="0" w:space="0" w:color="auto"/>
                            <w:right w:val="none" w:sz="0" w:space="0" w:color="auto"/>
                          </w:divBdr>
                        </w:div>
                        <w:div w:id="357780419">
                          <w:marLeft w:val="0"/>
                          <w:marRight w:val="0"/>
                          <w:marTop w:val="0"/>
                          <w:marBottom w:val="0"/>
                          <w:divBdr>
                            <w:top w:val="none" w:sz="0" w:space="0" w:color="auto"/>
                            <w:left w:val="none" w:sz="0" w:space="0" w:color="auto"/>
                            <w:bottom w:val="none" w:sz="0" w:space="0" w:color="auto"/>
                            <w:right w:val="none" w:sz="0" w:space="0" w:color="auto"/>
                          </w:divBdr>
                        </w:div>
                        <w:div w:id="103768641">
                          <w:marLeft w:val="0"/>
                          <w:marRight w:val="0"/>
                          <w:marTop w:val="0"/>
                          <w:marBottom w:val="0"/>
                          <w:divBdr>
                            <w:top w:val="none" w:sz="0" w:space="0" w:color="auto"/>
                            <w:left w:val="none" w:sz="0" w:space="0" w:color="auto"/>
                            <w:bottom w:val="none" w:sz="0" w:space="0" w:color="auto"/>
                            <w:right w:val="none" w:sz="0" w:space="0" w:color="auto"/>
                          </w:divBdr>
                        </w:div>
                        <w:div w:id="268511517">
                          <w:marLeft w:val="0"/>
                          <w:marRight w:val="0"/>
                          <w:marTop w:val="0"/>
                          <w:marBottom w:val="0"/>
                          <w:divBdr>
                            <w:top w:val="none" w:sz="0" w:space="0" w:color="auto"/>
                            <w:left w:val="none" w:sz="0" w:space="0" w:color="auto"/>
                            <w:bottom w:val="none" w:sz="0" w:space="0" w:color="auto"/>
                            <w:right w:val="none" w:sz="0" w:space="0" w:color="auto"/>
                          </w:divBdr>
                        </w:div>
                        <w:div w:id="1145660051">
                          <w:marLeft w:val="0"/>
                          <w:marRight w:val="0"/>
                          <w:marTop w:val="0"/>
                          <w:marBottom w:val="0"/>
                          <w:divBdr>
                            <w:top w:val="none" w:sz="0" w:space="0" w:color="auto"/>
                            <w:left w:val="none" w:sz="0" w:space="0" w:color="auto"/>
                            <w:bottom w:val="none" w:sz="0" w:space="0" w:color="auto"/>
                            <w:right w:val="none" w:sz="0" w:space="0" w:color="auto"/>
                          </w:divBdr>
                        </w:div>
                        <w:div w:id="1439333887">
                          <w:marLeft w:val="0"/>
                          <w:marRight w:val="0"/>
                          <w:marTop w:val="0"/>
                          <w:marBottom w:val="0"/>
                          <w:divBdr>
                            <w:top w:val="none" w:sz="0" w:space="0" w:color="auto"/>
                            <w:left w:val="none" w:sz="0" w:space="0" w:color="auto"/>
                            <w:bottom w:val="none" w:sz="0" w:space="0" w:color="auto"/>
                            <w:right w:val="none" w:sz="0" w:space="0" w:color="auto"/>
                          </w:divBdr>
                        </w:div>
                        <w:div w:id="1278953401">
                          <w:marLeft w:val="0"/>
                          <w:marRight w:val="0"/>
                          <w:marTop w:val="0"/>
                          <w:marBottom w:val="0"/>
                          <w:divBdr>
                            <w:top w:val="none" w:sz="0" w:space="0" w:color="auto"/>
                            <w:left w:val="none" w:sz="0" w:space="0" w:color="auto"/>
                            <w:bottom w:val="none" w:sz="0" w:space="0" w:color="auto"/>
                            <w:right w:val="none" w:sz="0" w:space="0" w:color="auto"/>
                          </w:divBdr>
                        </w:div>
                        <w:div w:id="3430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561657">
          <w:marLeft w:val="0"/>
          <w:marRight w:val="0"/>
          <w:marTop w:val="0"/>
          <w:marBottom w:val="0"/>
          <w:divBdr>
            <w:top w:val="none" w:sz="0" w:space="0" w:color="auto"/>
            <w:left w:val="none" w:sz="0" w:space="0" w:color="auto"/>
            <w:bottom w:val="none" w:sz="0" w:space="0" w:color="auto"/>
            <w:right w:val="none" w:sz="0" w:space="0" w:color="auto"/>
          </w:divBdr>
          <w:divsChild>
            <w:div w:id="1174341247">
              <w:marLeft w:val="0"/>
              <w:marRight w:val="0"/>
              <w:marTop w:val="0"/>
              <w:marBottom w:val="0"/>
              <w:divBdr>
                <w:top w:val="none" w:sz="0" w:space="0" w:color="auto"/>
                <w:left w:val="none" w:sz="0" w:space="0" w:color="auto"/>
                <w:bottom w:val="none" w:sz="0" w:space="0" w:color="auto"/>
                <w:right w:val="none" w:sz="0" w:space="0" w:color="auto"/>
              </w:divBdr>
              <w:divsChild>
                <w:div w:id="674771439">
                  <w:marLeft w:val="0"/>
                  <w:marRight w:val="0"/>
                  <w:marTop w:val="0"/>
                  <w:marBottom w:val="0"/>
                  <w:divBdr>
                    <w:top w:val="none" w:sz="0" w:space="0" w:color="auto"/>
                    <w:left w:val="none" w:sz="0" w:space="0" w:color="auto"/>
                    <w:bottom w:val="none" w:sz="0" w:space="0" w:color="auto"/>
                    <w:right w:val="none" w:sz="0" w:space="0" w:color="auto"/>
                  </w:divBdr>
                  <w:divsChild>
                    <w:div w:id="18200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decassation.fr/publications_26/mensuel_droit_travail_2230/mensuel_droit_travail_2014_6637/travail_n_6997/g_actions_justice_30922.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1558</Words>
  <Characters>8574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AUVINET Joseph</cp:lastModifiedBy>
  <cp:revision>2</cp:revision>
  <cp:lastPrinted>2016-12-20T12:37:00Z</cp:lastPrinted>
  <dcterms:created xsi:type="dcterms:W3CDTF">2016-12-20T12:56:00Z</dcterms:created>
  <dcterms:modified xsi:type="dcterms:W3CDTF">2016-12-20T12:56:00Z</dcterms:modified>
</cp:coreProperties>
</file>