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446E" w14:textId="5C707928" w:rsidR="00A965C0" w:rsidRDefault="00A965C0" w:rsidP="00A965C0">
      <w:pPr>
        <w:spacing w:before="120"/>
        <w:rPr>
          <w:rFonts w:ascii="Arial Narrow" w:hAnsi="Arial Narrow"/>
          <w:b/>
          <w:bCs/>
          <w:sz w:val="28"/>
          <w:szCs w:val="28"/>
          <w:lang w:eastAsia="fr-FR"/>
        </w:rPr>
      </w:pPr>
      <w:r w:rsidRPr="00A965C0">
        <w:rPr>
          <w:rFonts w:ascii="Arial Narrow" w:hAnsi="Arial Narrow"/>
          <w:b/>
          <w:bCs/>
          <w:sz w:val="28"/>
          <w:szCs w:val="28"/>
          <w:lang w:eastAsia="fr-FR"/>
        </w:rPr>
        <w:t>Majoration de durée d'assurance pour âge</w:t>
      </w:r>
    </w:p>
    <w:p w14:paraId="61E4CB6C" w14:textId="3CD44111" w:rsidR="000C38C7" w:rsidRPr="000C38C7" w:rsidRDefault="00527BEF" w:rsidP="000C38C7">
      <w:pPr>
        <w:spacing w:before="0"/>
        <w:rPr>
          <w:rFonts w:ascii="Arial Narrow" w:hAnsi="Arial Narrow"/>
          <w:sz w:val="20"/>
          <w:lang w:eastAsia="fr-FR"/>
        </w:rPr>
      </w:pPr>
      <w:hyperlink r:id="rId8" w:history="1">
        <w:r w:rsidR="000C38C7" w:rsidRPr="000C38C7">
          <w:rPr>
            <w:rStyle w:val="Lienhypertexte"/>
            <w:rFonts w:ascii="Arial Narrow" w:hAnsi="Arial Narrow"/>
            <w:sz w:val="20"/>
            <w:lang w:eastAsia="fr-FR"/>
          </w:rPr>
          <w:t>https://www.legislation.cnav.fr/Pages/expose.aspx?Nom=mda_mda_age_mda_age_ex</w:t>
        </w:r>
      </w:hyperlink>
      <w:r w:rsidR="000C38C7" w:rsidRPr="000C38C7">
        <w:rPr>
          <w:rFonts w:ascii="Arial Narrow" w:hAnsi="Arial Narrow"/>
          <w:sz w:val="20"/>
          <w:lang w:eastAsia="fr-FR"/>
        </w:rPr>
        <w:t xml:space="preserve"> </w:t>
      </w:r>
    </w:p>
    <w:p w14:paraId="6BF813B0" w14:textId="77777777" w:rsidR="00A965C0" w:rsidRPr="00A965C0" w:rsidRDefault="00527BEF" w:rsidP="00A965C0">
      <w:pPr>
        <w:numPr>
          <w:ilvl w:val="0"/>
          <w:numId w:val="25"/>
        </w:numPr>
        <w:spacing w:before="0"/>
        <w:ind w:left="714" w:hanging="357"/>
        <w:rPr>
          <w:rFonts w:ascii="Arial Narrow" w:hAnsi="Arial Narrow"/>
          <w:sz w:val="22"/>
          <w:szCs w:val="22"/>
          <w:lang w:eastAsia="fr-FR"/>
        </w:rPr>
      </w:pPr>
      <w:hyperlink r:id="rId9" w:history="1">
        <w:r w:rsidR="00A965C0" w:rsidRPr="00A965C0">
          <w:rPr>
            <w:rFonts w:ascii="Arial Narrow" w:hAnsi="Arial Narrow"/>
            <w:color w:val="0000FF"/>
            <w:sz w:val="22"/>
            <w:szCs w:val="22"/>
            <w:u w:val="single"/>
            <w:lang w:eastAsia="fr-FR"/>
          </w:rPr>
          <w:t>Majoration de durée d'assurance pour âge</w:t>
        </w:r>
      </w:hyperlink>
    </w:p>
    <w:p w14:paraId="27183E13" w14:textId="77777777" w:rsidR="00A965C0" w:rsidRPr="00A965C0" w:rsidRDefault="00527BEF" w:rsidP="00A965C0">
      <w:pPr>
        <w:numPr>
          <w:ilvl w:val="0"/>
          <w:numId w:val="25"/>
        </w:numPr>
        <w:spacing w:before="0"/>
        <w:ind w:left="714" w:hanging="357"/>
        <w:rPr>
          <w:rFonts w:ascii="Arial Narrow" w:hAnsi="Arial Narrow"/>
          <w:sz w:val="22"/>
          <w:szCs w:val="22"/>
          <w:lang w:eastAsia="fr-FR"/>
        </w:rPr>
      </w:pPr>
      <w:hyperlink r:id="rId10" w:history="1">
        <w:r w:rsidR="00A965C0" w:rsidRPr="00A965C0">
          <w:rPr>
            <w:rFonts w:ascii="Arial Narrow" w:hAnsi="Arial Narrow"/>
            <w:color w:val="0000FF"/>
            <w:sz w:val="22"/>
            <w:szCs w:val="22"/>
            <w:u w:val="single"/>
            <w:lang w:eastAsia="fr-FR"/>
          </w:rPr>
          <w:t>Anciennes dispositions</w:t>
        </w:r>
      </w:hyperlink>
    </w:p>
    <w:p w14:paraId="6812318C" w14:textId="77777777" w:rsidR="00A965C0" w:rsidRPr="00A965C0" w:rsidRDefault="00527BEF" w:rsidP="00A965C0">
      <w:pPr>
        <w:numPr>
          <w:ilvl w:val="0"/>
          <w:numId w:val="26"/>
        </w:numPr>
        <w:spacing w:before="0"/>
        <w:ind w:left="714" w:hanging="357"/>
        <w:rPr>
          <w:rFonts w:ascii="Arial Narrow" w:hAnsi="Arial Narrow"/>
          <w:sz w:val="22"/>
          <w:szCs w:val="22"/>
          <w:lang w:eastAsia="fr-FR"/>
        </w:rPr>
      </w:pPr>
      <w:hyperlink r:id="rId11" w:anchor="toc0" w:history="1">
        <w:r w:rsidR="00A965C0" w:rsidRPr="00A965C0">
          <w:rPr>
            <w:rFonts w:ascii="Arial Narrow" w:hAnsi="Arial Narrow"/>
            <w:color w:val="0000FF"/>
            <w:sz w:val="22"/>
            <w:szCs w:val="22"/>
            <w:u w:val="single"/>
            <w:lang w:eastAsia="fr-FR"/>
          </w:rPr>
          <w:t>Trimestres retenus autres régimes</w:t>
        </w:r>
      </w:hyperlink>
    </w:p>
    <w:p w14:paraId="1D03AF1D" w14:textId="77777777" w:rsidR="00A965C0" w:rsidRPr="00A965C0" w:rsidRDefault="00527BEF" w:rsidP="00A965C0">
      <w:pPr>
        <w:numPr>
          <w:ilvl w:val="0"/>
          <w:numId w:val="26"/>
        </w:numPr>
        <w:spacing w:before="0"/>
        <w:ind w:left="714" w:hanging="357"/>
        <w:rPr>
          <w:rFonts w:ascii="Arial Narrow" w:hAnsi="Arial Narrow"/>
          <w:sz w:val="22"/>
          <w:szCs w:val="22"/>
          <w:lang w:eastAsia="fr-FR"/>
        </w:rPr>
      </w:pPr>
      <w:hyperlink r:id="rId12" w:anchor="toc1" w:history="1">
        <w:r w:rsidR="00A965C0" w:rsidRPr="00A965C0">
          <w:rPr>
            <w:rFonts w:ascii="Arial Narrow" w:hAnsi="Arial Narrow"/>
            <w:color w:val="0000FF"/>
            <w:sz w:val="22"/>
            <w:szCs w:val="22"/>
            <w:u w:val="single"/>
            <w:lang w:eastAsia="fr-FR"/>
          </w:rPr>
          <w:t>Calcul de la majoration</w:t>
        </w:r>
      </w:hyperlink>
    </w:p>
    <w:p w14:paraId="3161AA8D"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 xml:space="preserve">L'assuré qui a dépassé </w:t>
      </w:r>
      <w:hyperlink r:id="rId13" w:tooltip="Exposé Taux de la retraite personnelle" w:history="1">
        <w:r w:rsidRPr="00A965C0">
          <w:rPr>
            <w:rFonts w:ascii="Arial Narrow" w:hAnsi="Arial Narrow"/>
            <w:color w:val="0000FF"/>
            <w:sz w:val="22"/>
            <w:szCs w:val="22"/>
            <w:u w:val="single"/>
            <w:lang w:eastAsia="fr-FR"/>
          </w:rPr>
          <w:t>l'âge d'obtention du taux plein</w:t>
        </w:r>
      </w:hyperlink>
      <w:r w:rsidRPr="00A965C0">
        <w:rPr>
          <w:rFonts w:ascii="Arial Narrow" w:hAnsi="Arial Narrow"/>
          <w:sz w:val="22"/>
          <w:szCs w:val="22"/>
          <w:lang w:eastAsia="fr-FR"/>
        </w:rPr>
        <w:t xml:space="preserve">, c'est-à-dire le taux maximum de 50 %, au point de départ de sa retraite a droit à une majoration de sa durée d'assurance s'il ne réunit pas, tous régimes confondus, la </w:t>
      </w:r>
      <w:hyperlink r:id="rId14" w:tooltip="Exposé Montant de la retgraite personnelle" w:history="1">
        <w:r w:rsidRPr="00A965C0">
          <w:rPr>
            <w:rFonts w:ascii="Arial Narrow" w:hAnsi="Arial Narrow"/>
            <w:color w:val="0000FF"/>
            <w:sz w:val="22"/>
            <w:szCs w:val="22"/>
            <w:u w:val="single"/>
            <w:lang w:eastAsia="fr-FR"/>
          </w:rPr>
          <w:t>durée d'assurance maximum</w:t>
        </w:r>
      </w:hyperlink>
      <w:r w:rsidRPr="00A965C0">
        <w:rPr>
          <w:rFonts w:ascii="Arial Narrow" w:hAnsi="Arial Narrow"/>
          <w:sz w:val="22"/>
          <w:szCs w:val="22"/>
          <w:lang w:eastAsia="fr-FR"/>
        </w:rPr>
        <w:t xml:space="preserve"> prévue au régime général. Les trimestres de majoration de durée d'assurance ne sont pas affectés à des années civiles. Ils s'ajoutent à la durée d'assurance au régime général. </w:t>
      </w:r>
    </w:p>
    <w:p w14:paraId="0AD8B3D9" w14:textId="77777777" w:rsidR="00A965C0" w:rsidRPr="00A965C0" w:rsidRDefault="00527BEF" w:rsidP="00A965C0">
      <w:pPr>
        <w:spacing w:before="0"/>
        <w:rPr>
          <w:rFonts w:ascii="Arial Narrow" w:hAnsi="Arial Narrow"/>
          <w:sz w:val="22"/>
          <w:szCs w:val="22"/>
          <w:lang w:eastAsia="fr-FR"/>
        </w:rPr>
      </w:pPr>
      <w:hyperlink r:id="rId15" w:tgtFrame="_blank" w:tooltip="Article L351-6 du code de la sécurité sociale  (Ce lien s'ouvre dans une nouvelle fenêtre)" w:history="1">
        <w:proofErr w:type="spellStart"/>
        <w:r w:rsidR="00A965C0" w:rsidRPr="00A965C0">
          <w:rPr>
            <w:rFonts w:ascii="Arial Narrow" w:hAnsi="Arial Narrow"/>
            <w:color w:val="0000FF"/>
            <w:sz w:val="22"/>
            <w:szCs w:val="22"/>
            <w:u w:val="single"/>
            <w:lang w:eastAsia="fr-FR"/>
          </w:rPr>
          <w:t>Css</w:t>
        </w:r>
        <w:proofErr w:type="spellEnd"/>
        <w:r w:rsidR="00A965C0" w:rsidRPr="00A965C0">
          <w:rPr>
            <w:rFonts w:ascii="Arial Narrow" w:hAnsi="Arial Narrow"/>
            <w:color w:val="0000FF"/>
            <w:sz w:val="22"/>
            <w:szCs w:val="22"/>
            <w:u w:val="single"/>
            <w:lang w:eastAsia="fr-FR"/>
          </w:rPr>
          <w:t xml:space="preserve"> art. L351-6</w:t>
        </w:r>
      </w:hyperlink>
      <w:r w:rsidR="00A965C0" w:rsidRPr="00A965C0">
        <w:rPr>
          <w:rFonts w:ascii="Arial Narrow" w:hAnsi="Arial Narrow"/>
          <w:sz w:val="22"/>
          <w:szCs w:val="22"/>
          <w:lang w:eastAsia="fr-FR"/>
        </w:rPr>
        <w:t xml:space="preserve">, </w:t>
      </w:r>
      <w:hyperlink r:id="rId16" w:tgtFrame="_blank" w:tooltip="Article R351-7 du code de la sécurité sociale  (Ce lien s'ouvre dans une nouvelle fenêtre)" w:history="1">
        <w:r w:rsidR="00A965C0" w:rsidRPr="00A965C0">
          <w:rPr>
            <w:rFonts w:ascii="Arial Narrow" w:hAnsi="Arial Narrow"/>
            <w:color w:val="0000FF"/>
            <w:sz w:val="22"/>
            <w:szCs w:val="22"/>
            <w:u w:val="single"/>
            <w:lang w:eastAsia="fr-FR"/>
          </w:rPr>
          <w:t>R351-7</w:t>
        </w:r>
      </w:hyperlink>
      <w:r w:rsidR="00A965C0" w:rsidRPr="00A965C0">
        <w:rPr>
          <w:rFonts w:ascii="Arial Narrow" w:hAnsi="Arial Narrow"/>
          <w:sz w:val="22"/>
          <w:szCs w:val="22"/>
          <w:lang w:eastAsia="fr-FR"/>
        </w:rPr>
        <w:t xml:space="preserve"> </w:t>
      </w:r>
    </w:p>
    <w:p w14:paraId="36785064" w14:textId="77777777" w:rsidR="00A965C0" w:rsidRPr="00A965C0" w:rsidRDefault="00527BEF" w:rsidP="00A965C0">
      <w:pPr>
        <w:spacing w:before="0"/>
        <w:rPr>
          <w:rFonts w:ascii="Arial Narrow" w:hAnsi="Arial Narrow"/>
          <w:sz w:val="22"/>
          <w:szCs w:val="22"/>
          <w:lang w:eastAsia="fr-FR"/>
        </w:rPr>
      </w:pPr>
      <w:hyperlink r:id="rId17" w:anchor="2" w:tgtFrame="_blank" w:tooltip="  (Ce lien s'ouvre dans une nouvelle fenêtre)" w:history="1">
        <w:r w:rsidR="00A965C0" w:rsidRPr="00A965C0">
          <w:rPr>
            <w:rFonts w:ascii="Arial Narrow" w:hAnsi="Arial Narrow"/>
            <w:color w:val="0000FF"/>
            <w:sz w:val="22"/>
            <w:szCs w:val="22"/>
            <w:u w:val="single"/>
            <w:lang w:eastAsia="fr-FR"/>
          </w:rPr>
          <w:t>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2004/20 du 13/04/2004 § 2</w:t>
        </w:r>
      </w:hyperlink>
      <w:r w:rsidR="00A965C0" w:rsidRPr="00A965C0">
        <w:rPr>
          <w:rFonts w:ascii="Arial Narrow" w:hAnsi="Arial Narrow"/>
          <w:sz w:val="22"/>
          <w:szCs w:val="22"/>
          <w:lang w:eastAsia="fr-FR"/>
        </w:rPr>
        <w:t xml:space="preserve"> </w:t>
      </w:r>
    </w:p>
    <w:p w14:paraId="40B0EDE3" w14:textId="77777777" w:rsidR="00A965C0" w:rsidRPr="00A965C0" w:rsidRDefault="00527BEF" w:rsidP="00A965C0">
      <w:pPr>
        <w:spacing w:before="0"/>
        <w:rPr>
          <w:rFonts w:ascii="Arial Narrow" w:hAnsi="Arial Narrow"/>
          <w:sz w:val="22"/>
          <w:szCs w:val="22"/>
          <w:lang w:eastAsia="fr-FR"/>
        </w:rPr>
      </w:pPr>
      <w:hyperlink r:id="rId18" w:tgtFrame="_blank" w:tooltip="  (Ce lien s'ouvre dans une nouvelle fenêtre)" w:history="1">
        <w:r w:rsidR="00A965C0" w:rsidRPr="00A965C0">
          <w:rPr>
            <w:rFonts w:ascii="Arial Narrow" w:hAnsi="Arial Narrow"/>
            <w:color w:val="0000FF"/>
            <w:sz w:val="22"/>
            <w:szCs w:val="22"/>
            <w:u w:val="single"/>
            <w:lang w:eastAsia="fr-FR"/>
          </w:rPr>
          <w:t>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2007/47 du 15/06/2007</w:t>
        </w:r>
      </w:hyperlink>
      <w:r w:rsidR="00A965C0" w:rsidRPr="00A965C0">
        <w:rPr>
          <w:rFonts w:ascii="Arial Narrow" w:hAnsi="Arial Narrow"/>
          <w:sz w:val="22"/>
          <w:szCs w:val="22"/>
          <w:lang w:eastAsia="fr-FR"/>
        </w:rPr>
        <w:t xml:space="preserve"> </w:t>
      </w:r>
    </w:p>
    <w:p w14:paraId="5EA2E3F9" w14:textId="77777777" w:rsidR="00A965C0" w:rsidRPr="00A965C0" w:rsidRDefault="00527BEF" w:rsidP="00A965C0">
      <w:pPr>
        <w:spacing w:before="0"/>
        <w:rPr>
          <w:rFonts w:ascii="Arial Narrow" w:hAnsi="Arial Narrow"/>
          <w:sz w:val="22"/>
          <w:szCs w:val="22"/>
          <w:lang w:eastAsia="fr-FR"/>
        </w:rPr>
      </w:pPr>
      <w:hyperlink r:id="rId19" w:anchor="2" w:tgtFrame="_blank" w:tooltip="  (Ce lien s'ouvre dans une nouvelle fenêtre)" w:history="1">
        <w:r w:rsidR="00A965C0" w:rsidRPr="00A965C0">
          <w:rPr>
            <w:rFonts w:ascii="Arial Narrow" w:hAnsi="Arial Narrow"/>
            <w:color w:val="0000FF"/>
            <w:sz w:val="22"/>
            <w:szCs w:val="22"/>
            <w:u w:val="single"/>
            <w:lang w:eastAsia="fr-FR"/>
          </w:rPr>
          <w:t xml:space="preserve">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2011/60 du 11/08/2011 § 2</w:t>
        </w:r>
      </w:hyperlink>
      <w:r w:rsidR="00A965C0" w:rsidRPr="00A965C0">
        <w:rPr>
          <w:rFonts w:ascii="Arial Narrow" w:hAnsi="Arial Narrow"/>
          <w:sz w:val="22"/>
          <w:szCs w:val="22"/>
          <w:lang w:eastAsia="fr-FR"/>
        </w:rPr>
        <w:t xml:space="preserve"> </w:t>
      </w:r>
    </w:p>
    <w:p w14:paraId="2A109E60" w14:textId="77777777" w:rsidR="00A965C0" w:rsidRPr="00A965C0" w:rsidRDefault="00527BEF" w:rsidP="00A965C0">
      <w:pPr>
        <w:spacing w:before="0"/>
        <w:rPr>
          <w:rFonts w:ascii="Arial Narrow" w:hAnsi="Arial Narrow"/>
          <w:sz w:val="22"/>
          <w:szCs w:val="22"/>
          <w:lang w:eastAsia="fr-FR"/>
        </w:rPr>
      </w:pPr>
      <w:hyperlink r:id="rId20" w:anchor="42" w:tgtFrame="_blank" w:tooltip="  (Ce lien s'ouvre dans une nouvelle fenêtre)" w:history="1">
        <w:r w:rsidR="00A965C0" w:rsidRPr="00A965C0">
          <w:rPr>
            <w:rFonts w:ascii="Arial Narrow" w:hAnsi="Arial Narrow"/>
            <w:color w:val="0000FF"/>
            <w:sz w:val="22"/>
            <w:szCs w:val="22"/>
            <w:u w:val="single"/>
            <w:lang w:eastAsia="fr-FR"/>
          </w:rPr>
          <w:t xml:space="preserve">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2012/6 du 25/01/2012 § 42</w:t>
        </w:r>
      </w:hyperlink>
      <w:r w:rsidR="00A965C0" w:rsidRPr="00A965C0">
        <w:rPr>
          <w:rFonts w:ascii="Arial Narrow" w:hAnsi="Arial Narrow"/>
          <w:sz w:val="22"/>
          <w:szCs w:val="22"/>
          <w:lang w:eastAsia="fr-FR"/>
        </w:rPr>
        <w:t xml:space="preserve"> </w:t>
      </w:r>
    </w:p>
    <w:p w14:paraId="5A989753" w14:textId="77777777" w:rsidR="00A965C0" w:rsidRPr="00A965C0" w:rsidRDefault="00A965C0" w:rsidP="00A965C0">
      <w:pPr>
        <w:numPr>
          <w:ilvl w:val="0"/>
          <w:numId w:val="15"/>
        </w:numPr>
        <w:spacing w:before="120"/>
        <w:ind w:left="0" w:firstLine="0"/>
        <w:outlineLvl w:val="1"/>
        <w:rPr>
          <w:rFonts w:ascii="Arial Narrow" w:hAnsi="Arial Narrow"/>
          <w:b/>
          <w:bCs/>
          <w:sz w:val="22"/>
          <w:szCs w:val="22"/>
          <w:lang w:eastAsia="fr-FR"/>
        </w:rPr>
      </w:pPr>
      <w:r w:rsidRPr="00A965C0">
        <w:rPr>
          <w:rFonts w:ascii="Arial Narrow" w:hAnsi="Arial Narrow"/>
          <w:b/>
          <w:bCs/>
          <w:sz w:val="22"/>
          <w:szCs w:val="22"/>
          <w:lang w:eastAsia="fr-FR"/>
        </w:rPr>
        <w:t>Trimestres retenus autres régimes</w:t>
      </w:r>
    </w:p>
    <w:p w14:paraId="2AF22BD0"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 xml:space="preserve">Les périodes validées par les autres régimes de base obligatoires sont retenues telles qu'elles sont indiquées par ces régimes en tenant compte de la date d'arrêt du compte au régime général. Toutefois des règles particulières existent si l'assuré était affilié en dernier lieu au régime des </w:t>
      </w:r>
      <w:proofErr w:type="spellStart"/>
      <w:r w:rsidRPr="00A965C0">
        <w:rPr>
          <w:rFonts w:ascii="Arial Narrow" w:hAnsi="Arial Narrow"/>
          <w:sz w:val="22"/>
          <w:szCs w:val="22"/>
          <w:lang w:eastAsia="fr-FR"/>
        </w:rPr>
        <w:t>non salariés</w:t>
      </w:r>
      <w:proofErr w:type="spellEnd"/>
      <w:r w:rsidRPr="00A965C0">
        <w:rPr>
          <w:rFonts w:ascii="Arial Narrow" w:hAnsi="Arial Narrow"/>
          <w:sz w:val="22"/>
          <w:szCs w:val="22"/>
          <w:lang w:eastAsia="fr-FR"/>
        </w:rPr>
        <w:t xml:space="preserve"> agricoles ou dans un régime spécial. </w:t>
      </w:r>
    </w:p>
    <w:p w14:paraId="27878A2E" w14:textId="77777777" w:rsidR="00A965C0" w:rsidRPr="00A965C0" w:rsidRDefault="00527BEF" w:rsidP="000C38C7">
      <w:pPr>
        <w:spacing w:before="0"/>
        <w:rPr>
          <w:rFonts w:ascii="Arial Narrow" w:hAnsi="Arial Narrow"/>
          <w:sz w:val="22"/>
          <w:szCs w:val="22"/>
          <w:lang w:eastAsia="fr-FR"/>
        </w:rPr>
      </w:pPr>
      <w:hyperlink r:id="rId21" w:anchor="3214" w:tgtFrame="_blank" w:tooltip="  (Ce lien s'ouvre dans une nouvelle fenêtre)" w:history="1">
        <w:r w:rsidR="00A965C0" w:rsidRPr="00A965C0">
          <w:rPr>
            <w:rFonts w:ascii="Arial Narrow" w:hAnsi="Arial Narrow"/>
            <w:color w:val="0000FF"/>
            <w:sz w:val="22"/>
            <w:szCs w:val="22"/>
            <w:u w:val="single"/>
            <w:lang w:eastAsia="fr-FR"/>
          </w:rPr>
          <w:t>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2004/20 du 13/04/2004 § 3214</w:t>
        </w:r>
      </w:hyperlink>
    </w:p>
    <w:p w14:paraId="15CCC25B"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Les trimestres d'assurance des régimes français sont retenus même s'ils se superposent.</w:t>
      </w:r>
    </w:p>
    <w:p w14:paraId="6B48E703" w14:textId="77777777" w:rsidR="00A965C0" w:rsidRPr="00A965C0" w:rsidRDefault="00907EE0" w:rsidP="000C38C7">
      <w:pPr>
        <w:spacing w:before="0"/>
        <w:rPr>
          <w:rFonts w:ascii="Arial Narrow" w:hAnsi="Arial Narrow"/>
          <w:sz w:val="22"/>
          <w:szCs w:val="22"/>
          <w:lang w:eastAsia="fr-FR"/>
        </w:rPr>
      </w:pPr>
      <w:hyperlink r:id="rId22" w:anchor="3215" w:tgtFrame="_blank" w:tooltip="  (Ce lien s'ouvre dans une nouvelle fenêtre)" w:history="1">
        <w:r w:rsidR="00A965C0" w:rsidRPr="00A965C0">
          <w:rPr>
            <w:rFonts w:ascii="Arial Narrow" w:hAnsi="Arial Narrow"/>
            <w:color w:val="0000FF"/>
            <w:sz w:val="22"/>
            <w:szCs w:val="22"/>
            <w:u w:val="single"/>
            <w:lang w:eastAsia="fr-FR"/>
          </w:rPr>
          <w:t>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2004/20 du 13/04/2004 § 3215</w:t>
        </w:r>
      </w:hyperlink>
    </w:p>
    <w:p w14:paraId="66D342A4"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Les périodes des régimes français et étrangers sont totalisées selon l'accord applicable sous réserve qu'elles ne se superposent pas à des périodes d'affiliation au titre des régimes français.</w:t>
      </w:r>
    </w:p>
    <w:p w14:paraId="51B084CA" w14:textId="77777777" w:rsidR="00A965C0" w:rsidRPr="00A965C0" w:rsidRDefault="00527BEF" w:rsidP="000C38C7">
      <w:pPr>
        <w:spacing w:before="0"/>
        <w:rPr>
          <w:rFonts w:ascii="Arial Narrow" w:hAnsi="Arial Narrow"/>
          <w:sz w:val="22"/>
          <w:szCs w:val="22"/>
          <w:lang w:eastAsia="fr-FR"/>
        </w:rPr>
      </w:pPr>
      <w:hyperlink r:id="rId23" w:anchor="611" w:tgtFrame="_blank" w:tooltip="  (Ce lien s'ouvre dans une nouvelle fenêtre)" w:history="1">
        <w:r w:rsidR="00A965C0" w:rsidRPr="00A965C0">
          <w:rPr>
            <w:rFonts w:ascii="Arial Narrow" w:hAnsi="Arial Narrow"/>
            <w:color w:val="0000FF"/>
            <w:sz w:val="22"/>
            <w:szCs w:val="22"/>
            <w:u w:val="single"/>
            <w:lang w:eastAsia="fr-FR"/>
          </w:rPr>
          <w:t>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2004/20 du 13/04/2004 § 611</w:t>
        </w:r>
      </w:hyperlink>
    </w:p>
    <w:p w14:paraId="7BE312D8" w14:textId="77777777" w:rsidR="00A965C0" w:rsidRPr="00A965C0" w:rsidRDefault="00A965C0" w:rsidP="00A965C0">
      <w:pPr>
        <w:numPr>
          <w:ilvl w:val="0"/>
          <w:numId w:val="15"/>
        </w:numPr>
        <w:spacing w:before="120"/>
        <w:ind w:left="0" w:firstLine="0"/>
        <w:outlineLvl w:val="1"/>
        <w:rPr>
          <w:rFonts w:ascii="Arial Narrow" w:hAnsi="Arial Narrow"/>
          <w:b/>
          <w:bCs/>
          <w:sz w:val="22"/>
          <w:szCs w:val="22"/>
          <w:lang w:eastAsia="fr-FR"/>
        </w:rPr>
      </w:pPr>
      <w:r w:rsidRPr="00A965C0">
        <w:rPr>
          <w:rFonts w:ascii="Arial Narrow" w:hAnsi="Arial Narrow"/>
          <w:b/>
          <w:bCs/>
          <w:sz w:val="22"/>
          <w:szCs w:val="22"/>
          <w:lang w:eastAsia="fr-FR"/>
        </w:rPr>
        <w:t>Calcul de la majoration</w:t>
      </w:r>
    </w:p>
    <w:p w14:paraId="5156E406"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 xml:space="preserve">Cette </w:t>
      </w:r>
      <w:hyperlink r:id="rId24" w:tgtFrame="_blank" w:tooltip="Barème Majoration d'assurance pour la retraite attribuée après l'âge du taux plein #Ce lien s'ouvre dans une nouvelle fenêtre# (Ce lien s'ouvre dans une nouvelle fenêtre)" w:history="1">
        <w:r w:rsidRPr="00A965C0">
          <w:rPr>
            <w:rFonts w:ascii="Arial Narrow" w:hAnsi="Arial Narrow"/>
            <w:color w:val="0000FF"/>
            <w:sz w:val="22"/>
            <w:szCs w:val="22"/>
            <w:u w:val="single"/>
            <w:lang w:eastAsia="fr-FR"/>
          </w:rPr>
          <w:t>majoration</w:t>
        </w:r>
      </w:hyperlink>
      <w:r w:rsidRPr="00A965C0">
        <w:rPr>
          <w:rFonts w:ascii="Arial Narrow" w:hAnsi="Arial Narrow"/>
          <w:sz w:val="22"/>
          <w:szCs w:val="22"/>
          <w:lang w:eastAsia="fr-FR"/>
        </w:rPr>
        <w:t xml:space="preserve"> est de 2,50 % par trimestre écoulé entre : </w:t>
      </w:r>
    </w:p>
    <w:p w14:paraId="0D76A841" w14:textId="77777777" w:rsidR="00A965C0" w:rsidRPr="00A965C0" w:rsidRDefault="00A965C0" w:rsidP="00A965C0">
      <w:pPr>
        <w:numPr>
          <w:ilvl w:val="0"/>
          <w:numId w:val="27"/>
        </w:numPr>
        <w:spacing w:before="0"/>
        <w:ind w:left="714" w:hanging="357"/>
        <w:rPr>
          <w:rFonts w:ascii="Arial Narrow" w:hAnsi="Arial Narrow"/>
          <w:sz w:val="22"/>
          <w:szCs w:val="22"/>
          <w:lang w:eastAsia="fr-FR"/>
        </w:rPr>
      </w:pPr>
      <w:r w:rsidRPr="00A965C0">
        <w:rPr>
          <w:rFonts w:ascii="Arial Narrow" w:hAnsi="Arial Narrow"/>
          <w:sz w:val="22"/>
          <w:szCs w:val="22"/>
          <w:lang w:eastAsia="fr-FR"/>
        </w:rPr>
        <w:t>le 1</w:t>
      </w:r>
      <w:r w:rsidRPr="00A965C0">
        <w:rPr>
          <w:rFonts w:ascii="Arial Narrow" w:hAnsi="Arial Narrow"/>
          <w:sz w:val="22"/>
          <w:szCs w:val="22"/>
          <w:vertAlign w:val="superscript"/>
          <w:lang w:eastAsia="fr-FR"/>
        </w:rPr>
        <w:t>er</w:t>
      </w:r>
      <w:r w:rsidRPr="00A965C0">
        <w:rPr>
          <w:rFonts w:ascii="Arial Narrow" w:hAnsi="Arial Narrow"/>
          <w:sz w:val="22"/>
          <w:szCs w:val="22"/>
          <w:lang w:eastAsia="fr-FR"/>
        </w:rPr>
        <w:t xml:space="preserve"> jour du mois qui suit l'âge auquel l'assuré a droit au taux plein (le jour même si l'assuré est né le 1</w:t>
      </w:r>
      <w:r w:rsidRPr="00A965C0">
        <w:rPr>
          <w:rFonts w:ascii="Arial Narrow" w:hAnsi="Arial Narrow"/>
          <w:sz w:val="22"/>
          <w:szCs w:val="22"/>
          <w:vertAlign w:val="superscript"/>
          <w:lang w:eastAsia="fr-FR"/>
        </w:rPr>
        <w:t>er </w:t>
      </w:r>
      <w:r w:rsidRPr="00A965C0">
        <w:rPr>
          <w:rFonts w:ascii="Arial Narrow" w:hAnsi="Arial Narrow"/>
          <w:sz w:val="22"/>
          <w:szCs w:val="22"/>
          <w:lang w:eastAsia="fr-FR"/>
        </w:rPr>
        <w:t xml:space="preserve">jour d'un mois) ; </w:t>
      </w:r>
    </w:p>
    <w:p w14:paraId="1C217293" w14:textId="77777777" w:rsidR="00A965C0" w:rsidRPr="00A965C0" w:rsidRDefault="00A965C0" w:rsidP="00A965C0">
      <w:pPr>
        <w:numPr>
          <w:ilvl w:val="0"/>
          <w:numId w:val="27"/>
        </w:numPr>
        <w:spacing w:before="0"/>
        <w:ind w:left="714" w:hanging="357"/>
        <w:rPr>
          <w:rFonts w:ascii="Arial Narrow" w:hAnsi="Arial Narrow"/>
          <w:sz w:val="22"/>
          <w:szCs w:val="22"/>
          <w:lang w:eastAsia="fr-FR"/>
        </w:rPr>
      </w:pPr>
      <w:r w:rsidRPr="00A965C0">
        <w:rPr>
          <w:rFonts w:ascii="Arial Narrow" w:hAnsi="Arial Narrow"/>
          <w:sz w:val="22"/>
          <w:szCs w:val="22"/>
          <w:lang w:eastAsia="fr-FR"/>
        </w:rPr>
        <w:t>et le point de départ de la retraite.</w:t>
      </w:r>
    </w:p>
    <w:p w14:paraId="4A352447" w14:textId="77777777" w:rsidR="00A965C0" w:rsidRPr="00A965C0" w:rsidRDefault="00527BEF" w:rsidP="000C38C7">
      <w:pPr>
        <w:spacing w:before="0"/>
        <w:rPr>
          <w:rFonts w:ascii="Arial Narrow" w:hAnsi="Arial Narrow"/>
          <w:sz w:val="22"/>
          <w:szCs w:val="22"/>
          <w:lang w:eastAsia="fr-FR"/>
        </w:rPr>
      </w:pPr>
      <w:hyperlink r:id="rId25" w:tgtFrame="_blank" w:tooltip="Article R351-7 du code de la sécurité sociale  (Ce lien s'ouvre dans une nouvelle fenêtre)" w:history="1">
        <w:proofErr w:type="spellStart"/>
        <w:r w:rsidR="00A965C0" w:rsidRPr="00A965C0">
          <w:rPr>
            <w:rFonts w:ascii="Arial Narrow" w:hAnsi="Arial Narrow"/>
            <w:color w:val="0000FF"/>
            <w:sz w:val="22"/>
            <w:szCs w:val="22"/>
            <w:u w:val="single"/>
            <w:lang w:eastAsia="fr-FR"/>
          </w:rPr>
          <w:t>Css</w:t>
        </w:r>
        <w:proofErr w:type="spellEnd"/>
        <w:r w:rsidR="00A965C0" w:rsidRPr="00A965C0">
          <w:rPr>
            <w:rFonts w:ascii="Arial Narrow" w:hAnsi="Arial Narrow"/>
            <w:color w:val="0000FF"/>
            <w:sz w:val="22"/>
            <w:szCs w:val="22"/>
            <w:u w:val="single"/>
            <w:lang w:eastAsia="fr-FR"/>
          </w:rPr>
          <w:t xml:space="preserve"> </w:t>
        </w:r>
        <w:proofErr w:type="gramStart"/>
        <w:r w:rsidR="00A965C0" w:rsidRPr="00A965C0">
          <w:rPr>
            <w:rFonts w:ascii="Arial Narrow" w:hAnsi="Arial Narrow"/>
            <w:color w:val="0000FF"/>
            <w:sz w:val="22"/>
            <w:szCs w:val="22"/>
            <w:u w:val="single"/>
            <w:lang w:eastAsia="fr-FR"/>
          </w:rPr>
          <w:t>art.R</w:t>
        </w:r>
        <w:proofErr w:type="gramEnd"/>
        <w:r w:rsidR="00A965C0" w:rsidRPr="00A965C0">
          <w:rPr>
            <w:rFonts w:ascii="Arial Narrow" w:hAnsi="Arial Narrow"/>
            <w:color w:val="0000FF"/>
            <w:sz w:val="22"/>
            <w:szCs w:val="22"/>
            <w:u w:val="single"/>
            <w:lang w:eastAsia="fr-FR"/>
          </w:rPr>
          <w:t>351-7</w:t>
        </w:r>
      </w:hyperlink>
    </w:p>
    <w:p w14:paraId="73BD9E71" w14:textId="77777777" w:rsidR="00A965C0" w:rsidRPr="00A965C0" w:rsidRDefault="00527BEF" w:rsidP="000C38C7">
      <w:pPr>
        <w:spacing w:before="0"/>
        <w:rPr>
          <w:rFonts w:ascii="Arial Narrow" w:hAnsi="Arial Narrow"/>
          <w:sz w:val="22"/>
          <w:szCs w:val="22"/>
          <w:lang w:eastAsia="fr-FR"/>
        </w:rPr>
      </w:pPr>
      <w:hyperlink r:id="rId26" w:anchor="12" w:tgtFrame="_blank" w:tooltip="  (Ce lien s'ouvre dans une nouvelle fenêtre)" w:history="1">
        <w:r w:rsidR="00A965C0" w:rsidRPr="00A965C0">
          <w:rPr>
            <w:rFonts w:ascii="Arial Narrow" w:hAnsi="Arial Narrow"/>
            <w:color w:val="0000FF"/>
            <w:sz w:val="22"/>
            <w:szCs w:val="22"/>
            <w:u w:val="single"/>
            <w:lang w:eastAsia="fr-FR"/>
          </w:rPr>
          <w:t>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2004/20 du 13/04/2004 § 12</w:t>
        </w:r>
      </w:hyperlink>
    </w:p>
    <w:p w14:paraId="4C744F69"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Le nombre total de trimestres d'assurance est arrondi au chiffre supérieur. Il ne peut pas dépasser la durée d'assurance maximum.</w:t>
      </w:r>
    </w:p>
    <w:p w14:paraId="25173A73"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 xml:space="preserve">Des règles de répartition entre régimes s'appliquent, si la durée d'assurance tous régimes après majoration dépasse la durée d'assurance maximum et si l'assuré a été affilié à plusieurs des régimes suivants : </w:t>
      </w:r>
    </w:p>
    <w:p w14:paraId="072A1650" w14:textId="77777777" w:rsidR="00A965C0" w:rsidRPr="00A965C0" w:rsidRDefault="00A965C0" w:rsidP="00A965C0">
      <w:pPr>
        <w:numPr>
          <w:ilvl w:val="0"/>
          <w:numId w:val="28"/>
        </w:numPr>
        <w:spacing w:before="0"/>
        <w:ind w:left="714" w:hanging="357"/>
        <w:rPr>
          <w:rFonts w:ascii="Arial Narrow" w:hAnsi="Arial Narrow"/>
          <w:sz w:val="22"/>
          <w:szCs w:val="22"/>
          <w:lang w:eastAsia="fr-FR"/>
        </w:rPr>
      </w:pPr>
      <w:r w:rsidRPr="00A965C0">
        <w:rPr>
          <w:rFonts w:ascii="Arial Narrow" w:hAnsi="Arial Narrow"/>
          <w:sz w:val="22"/>
          <w:szCs w:val="22"/>
          <w:lang w:eastAsia="fr-FR"/>
        </w:rPr>
        <w:t>régime général ;</w:t>
      </w:r>
    </w:p>
    <w:p w14:paraId="74A6A7F1" w14:textId="77777777" w:rsidR="00A965C0" w:rsidRPr="00A965C0" w:rsidRDefault="00A965C0" w:rsidP="00A965C0">
      <w:pPr>
        <w:numPr>
          <w:ilvl w:val="0"/>
          <w:numId w:val="28"/>
        </w:numPr>
        <w:spacing w:before="0"/>
        <w:ind w:left="714" w:hanging="357"/>
        <w:rPr>
          <w:rFonts w:ascii="Arial Narrow" w:hAnsi="Arial Narrow"/>
          <w:sz w:val="22"/>
          <w:szCs w:val="22"/>
          <w:lang w:eastAsia="fr-FR"/>
        </w:rPr>
      </w:pPr>
      <w:r w:rsidRPr="00A965C0">
        <w:rPr>
          <w:rFonts w:ascii="Arial Narrow" w:hAnsi="Arial Narrow"/>
          <w:sz w:val="22"/>
          <w:szCs w:val="22"/>
          <w:lang w:eastAsia="fr-FR"/>
        </w:rPr>
        <w:t>régime des salariés agricoles ;</w:t>
      </w:r>
    </w:p>
    <w:p w14:paraId="3885C130" w14:textId="77777777" w:rsidR="00A965C0" w:rsidRPr="00A965C0" w:rsidRDefault="00A965C0" w:rsidP="00A965C0">
      <w:pPr>
        <w:numPr>
          <w:ilvl w:val="0"/>
          <w:numId w:val="28"/>
        </w:numPr>
        <w:spacing w:before="0"/>
        <w:ind w:left="714" w:hanging="357"/>
        <w:rPr>
          <w:rFonts w:ascii="Arial Narrow" w:hAnsi="Arial Narrow"/>
          <w:sz w:val="22"/>
          <w:szCs w:val="22"/>
          <w:lang w:eastAsia="fr-FR"/>
        </w:rPr>
      </w:pPr>
      <w:r w:rsidRPr="00A965C0">
        <w:rPr>
          <w:rFonts w:ascii="Arial Narrow" w:hAnsi="Arial Narrow"/>
          <w:sz w:val="22"/>
          <w:szCs w:val="22"/>
          <w:lang w:eastAsia="fr-FR"/>
        </w:rPr>
        <w:t>régime des non-salariés du commerce ou de l'artisanat (pour les périodes depuis le 01/01/1973).</w:t>
      </w:r>
    </w:p>
    <w:p w14:paraId="7E5112FE"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 La majoration du régime général est alors</w:t>
      </w:r>
      <w:proofErr w:type="gramStart"/>
      <w:r w:rsidRPr="00A965C0">
        <w:rPr>
          <w:rFonts w:ascii="Arial Narrow" w:hAnsi="Arial Narrow"/>
          <w:sz w:val="22"/>
          <w:szCs w:val="22"/>
          <w:lang w:eastAsia="fr-FR"/>
        </w:rPr>
        <w:t>   :</w:t>
      </w:r>
      <w:proofErr w:type="gramEnd"/>
      <w:r w:rsidRPr="00A965C0">
        <w:rPr>
          <w:rFonts w:ascii="Arial Narrow" w:hAnsi="Arial Narrow"/>
          <w:sz w:val="22"/>
          <w:szCs w:val="22"/>
          <w:lang w:eastAsia="fr-FR"/>
        </w:rPr>
        <w:t xml:space="preserve">   </w:t>
      </w:r>
    </w:p>
    <w:p w14:paraId="0752A232" w14:textId="77777777" w:rsidR="00A965C0" w:rsidRPr="00A965C0" w:rsidRDefault="00A965C0" w:rsidP="00A965C0">
      <w:pPr>
        <w:numPr>
          <w:ilvl w:val="0"/>
          <w:numId w:val="29"/>
        </w:numPr>
        <w:spacing w:before="0"/>
        <w:ind w:left="714" w:hanging="357"/>
        <w:rPr>
          <w:rFonts w:ascii="Arial Narrow" w:hAnsi="Arial Narrow"/>
          <w:sz w:val="22"/>
          <w:szCs w:val="22"/>
          <w:lang w:eastAsia="fr-FR"/>
        </w:rPr>
      </w:pPr>
      <w:r w:rsidRPr="00A965C0">
        <w:rPr>
          <w:rFonts w:ascii="Arial Narrow" w:hAnsi="Arial Narrow"/>
          <w:sz w:val="22"/>
          <w:szCs w:val="22"/>
          <w:lang w:eastAsia="fr-FR"/>
        </w:rPr>
        <w:t>limitée à la différence entre la durée d'assurance maximum au régime général et la durée d'assurance dans ces régimes (avant majoration) ;</w:t>
      </w:r>
    </w:p>
    <w:p w14:paraId="08251ED3" w14:textId="77777777" w:rsidR="00A965C0" w:rsidRPr="00A965C0" w:rsidRDefault="00A965C0" w:rsidP="00A965C0">
      <w:pPr>
        <w:numPr>
          <w:ilvl w:val="0"/>
          <w:numId w:val="29"/>
        </w:numPr>
        <w:spacing w:before="0"/>
        <w:ind w:left="714" w:hanging="357"/>
        <w:rPr>
          <w:rFonts w:ascii="Arial Narrow" w:hAnsi="Arial Narrow"/>
          <w:sz w:val="22"/>
          <w:szCs w:val="22"/>
          <w:lang w:eastAsia="fr-FR"/>
        </w:rPr>
      </w:pPr>
      <w:r w:rsidRPr="00A965C0">
        <w:rPr>
          <w:rFonts w:ascii="Arial Narrow" w:hAnsi="Arial Narrow"/>
          <w:sz w:val="22"/>
          <w:szCs w:val="22"/>
          <w:lang w:eastAsia="fr-FR"/>
        </w:rPr>
        <w:t>réduite proportionnellement à la durée d'assurance au régime général (avant majoration) par rapport à la durée d'assurance dans l'ensemble de ces régimes (avant majoration)</w:t>
      </w:r>
    </w:p>
    <w:p w14:paraId="131C4325" w14:textId="77777777" w:rsidR="00A965C0" w:rsidRPr="00A965C0" w:rsidRDefault="00A965C0" w:rsidP="00A965C0">
      <w:pPr>
        <w:spacing w:before="120"/>
        <w:rPr>
          <w:rFonts w:ascii="Arial Narrow" w:hAnsi="Arial Narrow"/>
          <w:sz w:val="22"/>
          <w:szCs w:val="22"/>
          <w:lang w:eastAsia="fr-FR"/>
        </w:rPr>
      </w:pPr>
      <w:r w:rsidRPr="00A965C0">
        <w:rPr>
          <w:rFonts w:ascii="Arial Narrow" w:hAnsi="Arial Narrow"/>
          <w:sz w:val="22"/>
          <w:szCs w:val="22"/>
          <w:lang w:eastAsia="fr-FR"/>
        </w:rPr>
        <w:t>Le résultat est arrondi à l'entier supérieur si la première décimale est au moins égale à 5. Dans le cas contraire, il est arrondi à l'entier inférieur.</w:t>
      </w:r>
    </w:p>
    <w:p w14:paraId="3E48A8A6" w14:textId="77777777" w:rsidR="00A965C0" w:rsidRPr="00A965C0" w:rsidRDefault="00527BEF" w:rsidP="00A965C0">
      <w:pPr>
        <w:spacing w:before="0"/>
        <w:rPr>
          <w:rFonts w:ascii="Arial Narrow" w:hAnsi="Arial Narrow"/>
          <w:sz w:val="22"/>
          <w:szCs w:val="22"/>
          <w:lang w:eastAsia="fr-FR"/>
        </w:rPr>
      </w:pPr>
      <w:hyperlink r:id="rId27" w:tgtFrame="_blank" w:tooltip="Article R173-4-2 du code de la sécurité sociale  (Ce lien s'ouvre dans une nouvelle fenêtre)" w:history="1">
        <w:proofErr w:type="spellStart"/>
        <w:r w:rsidR="00A965C0" w:rsidRPr="00A965C0">
          <w:rPr>
            <w:rFonts w:ascii="Arial Narrow" w:hAnsi="Arial Narrow"/>
            <w:color w:val="0000FF"/>
            <w:sz w:val="22"/>
            <w:szCs w:val="22"/>
            <w:u w:val="single"/>
            <w:lang w:eastAsia="fr-FR"/>
          </w:rPr>
          <w:t>Css</w:t>
        </w:r>
        <w:proofErr w:type="spellEnd"/>
        <w:r w:rsidR="00A965C0" w:rsidRPr="00A965C0">
          <w:rPr>
            <w:rFonts w:ascii="Arial Narrow" w:hAnsi="Arial Narrow"/>
            <w:color w:val="0000FF"/>
            <w:sz w:val="22"/>
            <w:szCs w:val="22"/>
            <w:u w:val="single"/>
            <w:lang w:eastAsia="fr-FR"/>
          </w:rPr>
          <w:t xml:space="preserve"> art. R173-4-2</w:t>
        </w:r>
      </w:hyperlink>
    </w:p>
    <w:p w14:paraId="047AC9B7" w14:textId="77777777" w:rsidR="004603D6" w:rsidRPr="00D74164" w:rsidRDefault="00527BEF" w:rsidP="00A965C0">
      <w:pPr>
        <w:spacing w:before="0"/>
        <w:rPr>
          <w:rFonts w:eastAsia="Calibri"/>
        </w:rPr>
      </w:pPr>
      <w:hyperlink r:id="rId28" w:anchor="4" w:tgtFrame="_blank" w:tooltip="  (Ce lien s'ouvre dans une nouvelle fenêtre)" w:history="1">
        <w:r w:rsidR="00A965C0" w:rsidRPr="00A965C0">
          <w:rPr>
            <w:rFonts w:ascii="Arial Narrow" w:hAnsi="Arial Narrow"/>
            <w:color w:val="0000FF"/>
            <w:sz w:val="22"/>
            <w:szCs w:val="22"/>
            <w:u w:val="single"/>
            <w:lang w:eastAsia="fr-FR"/>
          </w:rPr>
          <w:t>Circulaire </w:t>
        </w:r>
        <w:proofErr w:type="spellStart"/>
        <w:r w:rsidR="00A965C0" w:rsidRPr="00A965C0">
          <w:rPr>
            <w:rFonts w:ascii="Arial Narrow" w:hAnsi="Arial Narrow"/>
            <w:color w:val="0000FF"/>
            <w:sz w:val="22"/>
            <w:szCs w:val="22"/>
            <w:u w:val="single"/>
            <w:lang w:eastAsia="fr-FR"/>
          </w:rPr>
          <w:t>Cnav</w:t>
        </w:r>
        <w:proofErr w:type="spellEnd"/>
        <w:r w:rsidR="00A965C0" w:rsidRPr="00A965C0">
          <w:rPr>
            <w:rFonts w:ascii="Arial Narrow" w:hAnsi="Arial Narrow"/>
            <w:color w:val="0000FF"/>
            <w:sz w:val="22"/>
            <w:szCs w:val="22"/>
            <w:u w:val="single"/>
            <w:lang w:eastAsia="fr-FR"/>
          </w:rPr>
          <w:t xml:space="preserve"> 2004/20 du 13/04/2004 § 4</w:t>
        </w:r>
      </w:hyperlink>
    </w:p>
    <w:sectPr w:rsidR="004603D6" w:rsidRPr="00D74164" w:rsidSect="00292C1B">
      <w:headerReference w:type="even" r:id="rId29"/>
      <w:headerReference w:type="default" r:id="rId30"/>
      <w:footerReference w:type="even" r:id="rId31"/>
      <w:footerReference w:type="default" r:id="rId32"/>
      <w:headerReference w:type="first" r:id="rId33"/>
      <w:footerReference w:type="first" r:id="rId34"/>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E0D1" w14:textId="77777777" w:rsidR="00527BEF" w:rsidRDefault="00527BEF" w:rsidP="00437985">
      <w:r>
        <w:separator/>
      </w:r>
    </w:p>
  </w:endnote>
  <w:endnote w:type="continuationSeparator" w:id="0">
    <w:p w14:paraId="40188357" w14:textId="77777777" w:rsidR="00527BEF" w:rsidRDefault="00527BEF"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EDE8"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130B"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1F355335"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F2BC"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8731" w14:textId="77777777" w:rsidR="00527BEF" w:rsidRDefault="00527BEF" w:rsidP="00437985">
      <w:r>
        <w:separator/>
      </w:r>
    </w:p>
  </w:footnote>
  <w:footnote w:type="continuationSeparator" w:id="0">
    <w:p w14:paraId="745BCED9" w14:textId="77777777" w:rsidR="00527BEF" w:rsidRDefault="00527BEF"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4512"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5236"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E98B"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B6453"/>
    <w:multiLevelType w:val="multilevel"/>
    <w:tmpl w:val="16C8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FD5668"/>
    <w:multiLevelType w:val="multilevel"/>
    <w:tmpl w:val="24F2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726D8"/>
    <w:multiLevelType w:val="multilevel"/>
    <w:tmpl w:val="E4C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440416"/>
    <w:multiLevelType w:val="multilevel"/>
    <w:tmpl w:val="F77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3"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5" w15:restartNumberingAfterBreak="0">
    <w:nsid w:val="6FD931F8"/>
    <w:multiLevelType w:val="multilevel"/>
    <w:tmpl w:val="670C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8"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6"/>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22"/>
  </w:num>
  <w:num w:numId="1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11"/>
  </w:num>
  <w:num w:numId="18">
    <w:abstractNumId w:val="12"/>
  </w:num>
  <w:num w:numId="19">
    <w:abstractNumId w:val="27"/>
  </w:num>
  <w:num w:numId="20">
    <w:abstractNumId w:val="28"/>
  </w:num>
  <w:num w:numId="21">
    <w:abstractNumId w:val="17"/>
  </w:num>
  <w:num w:numId="22">
    <w:abstractNumId w:val="24"/>
  </w:num>
  <w:num w:numId="23">
    <w:abstractNumId w:val="14"/>
  </w:num>
  <w:num w:numId="24">
    <w:abstractNumId w:val="18"/>
  </w:num>
  <w:num w:numId="25">
    <w:abstractNumId w:val="25"/>
  </w:num>
  <w:num w:numId="26">
    <w:abstractNumId w:val="21"/>
  </w:num>
  <w:num w:numId="27">
    <w:abstractNumId w:val="13"/>
  </w:num>
  <w:num w:numId="28">
    <w:abstractNumId w:val="20"/>
  </w:num>
  <w:num w:numId="2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C0"/>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8C7"/>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BEF"/>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A0F"/>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07EE0"/>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5C0"/>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9F1"/>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7D1FA"/>
  <w15:docId w15:val="{2C9828A6-88ED-41D2-A818-7758452A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0C3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237548595">
      <w:bodyDiv w:val="1"/>
      <w:marLeft w:val="0"/>
      <w:marRight w:val="0"/>
      <w:marTop w:val="0"/>
      <w:marBottom w:val="0"/>
      <w:divBdr>
        <w:top w:val="none" w:sz="0" w:space="0" w:color="auto"/>
        <w:left w:val="none" w:sz="0" w:space="0" w:color="auto"/>
        <w:bottom w:val="none" w:sz="0" w:space="0" w:color="auto"/>
        <w:right w:val="none" w:sz="0" w:space="0" w:color="auto"/>
      </w:divBdr>
      <w:divsChild>
        <w:div w:id="1958834329">
          <w:marLeft w:val="0"/>
          <w:marRight w:val="0"/>
          <w:marTop w:val="0"/>
          <w:marBottom w:val="0"/>
          <w:divBdr>
            <w:top w:val="none" w:sz="0" w:space="0" w:color="auto"/>
            <w:left w:val="none" w:sz="0" w:space="0" w:color="auto"/>
            <w:bottom w:val="none" w:sz="0" w:space="0" w:color="auto"/>
            <w:right w:val="none" w:sz="0" w:space="0" w:color="auto"/>
          </w:divBdr>
        </w:div>
        <w:div w:id="231698429">
          <w:marLeft w:val="0"/>
          <w:marRight w:val="0"/>
          <w:marTop w:val="0"/>
          <w:marBottom w:val="0"/>
          <w:divBdr>
            <w:top w:val="none" w:sz="0" w:space="0" w:color="auto"/>
            <w:left w:val="none" w:sz="0" w:space="0" w:color="auto"/>
            <w:bottom w:val="none" w:sz="0" w:space="0" w:color="auto"/>
            <w:right w:val="none" w:sz="0" w:space="0" w:color="auto"/>
          </w:divBdr>
          <w:divsChild>
            <w:div w:id="195629975">
              <w:marLeft w:val="0"/>
              <w:marRight w:val="0"/>
              <w:marTop w:val="0"/>
              <w:marBottom w:val="0"/>
              <w:divBdr>
                <w:top w:val="none" w:sz="0" w:space="0" w:color="auto"/>
                <w:left w:val="none" w:sz="0" w:space="0" w:color="auto"/>
                <w:bottom w:val="none" w:sz="0" w:space="0" w:color="auto"/>
                <w:right w:val="none" w:sz="0" w:space="0" w:color="auto"/>
              </w:divBdr>
              <w:divsChild>
                <w:div w:id="1511337423">
                  <w:marLeft w:val="0"/>
                  <w:marRight w:val="0"/>
                  <w:marTop w:val="0"/>
                  <w:marBottom w:val="0"/>
                  <w:divBdr>
                    <w:top w:val="none" w:sz="0" w:space="0" w:color="auto"/>
                    <w:left w:val="none" w:sz="0" w:space="0" w:color="auto"/>
                    <w:bottom w:val="none" w:sz="0" w:space="0" w:color="auto"/>
                    <w:right w:val="none" w:sz="0" w:space="0" w:color="auto"/>
                  </w:divBdr>
                </w:div>
                <w:div w:id="1296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6143">
          <w:marLeft w:val="0"/>
          <w:marRight w:val="0"/>
          <w:marTop w:val="0"/>
          <w:marBottom w:val="0"/>
          <w:divBdr>
            <w:top w:val="none" w:sz="0" w:space="0" w:color="auto"/>
            <w:left w:val="none" w:sz="0" w:space="0" w:color="auto"/>
            <w:bottom w:val="none" w:sz="0" w:space="0" w:color="auto"/>
            <w:right w:val="none" w:sz="0" w:space="0" w:color="auto"/>
          </w:divBdr>
          <w:divsChild>
            <w:div w:id="1283655535">
              <w:marLeft w:val="0"/>
              <w:marRight w:val="0"/>
              <w:marTop w:val="0"/>
              <w:marBottom w:val="0"/>
              <w:divBdr>
                <w:top w:val="none" w:sz="0" w:space="0" w:color="auto"/>
                <w:left w:val="none" w:sz="0" w:space="0" w:color="auto"/>
                <w:bottom w:val="none" w:sz="0" w:space="0" w:color="auto"/>
                <w:right w:val="none" w:sz="0" w:space="0" w:color="auto"/>
              </w:divBdr>
            </w:div>
            <w:div w:id="10658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cnav.fr/Pages/expose.aspx?Nom=mda_mda_age_mda_age_ex" TargetMode="External"/><Relationship Id="rId13" Type="http://schemas.openxmlformats.org/officeDocument/2006/relationships/hyperlink" Target="https://www.legislation.cnav.fr/Pages/expose.aspx?Nom=retraite_personnelle_taux_taux_retraite_ex" TargetMode="External"/><Relationship Id="rId18" Type="http://schemas.openxmlformats.org/officeDocument/2006/relationships/hyperlink" Target="https://www.legislation.cnav.fr/Pages/texte.aspx?Nom=CR_CN_2007047_15062007" TargetMode="External"/><Relationship Id="rId26" Type="http://schemas.openxmlformats.org/officeDocument/2006/relationships/hyperlink" Target="https://www.legislation.cnav.fr/Pages/texte.aspx?Nom=CR_CN_2004020_13042004" TargetMode="External"/><Relationship Id="rId3" Type="http://schemas.openxmlformats.org/officeDocument/2006/relationships/styles" Target="styles.xml"/><Relationship Id="rId21" Type="http://schemas.openxmlformats.org/officeDocument/2006/relationships/hyperlink" Target="https://www.legislation.cnav.fr/Pages/texte.aspx?Nom=CR_CN_2004020_13042004"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slation.cnav.fr/Pages/expose.aspx?Nom=mda_mda_age_mda_age_ex" TargetMode="External"/><Relationship Id="rId17" Type="http://schemas.openxmlformats.org/officeDocument/2006/relationships/hyperlink" Target="https://www.legislation.cnav.fr/Pages/texte.aspx?Nom=CR_CN_2004020_13042004" TargetMode="External"/><Relationship Id="rId25" Type="http://schemas.openxmlformats.org/officeDocument/2006/relationships/hyperlink" Target="http://www.legifrance.gouv.fr/affichCodeArticle.do%3bjsessionid=4846514E5149268645E36D73CC77FCED.tpdjo15v_1?idArticle=LEGIARTI000024113035&amp;cidTexte=LEGITEXT000006073189&amp;categorieLien=id&amp;dateTexte=vi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egifrance.gouv.fr/affichCodeArticle.do%3bjsessionid=4846514E5149268645E36D73CC77FCED.tpdjo15v_1?idArticle=LEGIARTI000024113035&amp;cidTexte=LEGITEXT000006073189&amp;categorieLien=id&amp;dateTexte=vig" TargetMode="External"/><Relationship Id="rId20" Type="http://schemas.openxmlformats.org/officeDocument/2006/relationships/hyperlink" Target="https://www.legislation.cnav.fr/Pages/texte.aspx?Nom=circulaire_cnav_2012_06_2501201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cnav.fr/Pages/expose.aspx?Nom=mda_mda_age_mda_age_ex" TargetMode="External"/><Relationship Id="rId24" Type="http://schemas.openxmlformats.org/officeDocument/2006/relationships/hyperlink" Target="https://www.legislation.cnav.fr/Pages/bareme.aspx?Nom=mda_depart_retraite_apres_age_taux_plein_ba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gifrance.gouv.fr/affichCodeArticle.do%3bjsessionid=DBD6DEA6E0BC85E0D840EB28220DCFA8.tpdjo17v_1?idArticle=LEGIARTI000006742631&amp;cidTexte=LEGITEXT000006073189&amp;dateTexte=vig" TargetMode="External"/><Relationship Id="rId23" Type="http://schemas.openxmlformats.org/officeDocument/2006/relationships/hyperlink" Target="https://www.legislation.cnav.fr/Pages/texte.aspx?Nom=CR_CN_2004020_13042004" TargetMode="External"/><Relationship Id="rId28" Type="http://schemas.openxmlformats.org/officeDocument/2006/relationships/hyperlink" Target="https://www.legislation.cnav.fr/Pages/texte.aspx?Nom=CR_CN_2004020_13042004" TargetMode="External"/><Relationship Id="rId36" Type="http://schemas.openxmlformats.org/officeDocument/2006/relationships/theme" Target="theme/theme1.xml"/><Relationship Id="rId10" Type="http://schemas.openxmlformats.org/officeDocument/2006/relationships/hyperlink" Target="https://www.legislation.cnav.fr/Pages/expose.aspx?Nom=mda_mda_age_ancienne%20_disposition_ex" TargetMode="External"/><Relationship Id="rId19" Type="http://schemas.openxmlformats.org/officeDocument/2006/relationships/hyperlink" Target="https://www.legislation.cnav.fr/Pages/texte.aspx?Nom=CR_CN_2011060_1208201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cnav.fr/Pages/expose.aspx?Nom=mda_mda_age_mda_age_ex" TargetMode="External"/><Relationship Id="rId14" Type="http://schemas.openxmlformats.org/officeDocument/2006/relationships/hyperlink" Target="https://www.legislation.cnav.fr/Pages/expose.aspx?Nom=retraite_personnelle_montant_montant_ex" TargetMode="External"/><Relationship Id="rId22" Type="http://schemas.openxmlformats.org/officeDocument/2006/relationships/hyperlink" Target="https://www.legislation.cnav.fr/Pages/texte.aspx?Nom=CR_CN_2004020_13042004" TargetMode="External"/><Relationship Id="rId27" Type="http://schemas.openxmlformats.org/officeDocument/2006/relationships/hyperlink" Target="http://www.legifrance.gouv.fr/affichCodeArticle.do%3bjsessionid=0EA8A5E2A8D6D92C5804F162A5DC3D3B.tpdjo12v_1?idArticle=LEGIARTI000006747868&amp;cidTexte=LEGITEXT000006073189&amp;categorieLien=id&amp;dateTexte=vig" TargetMode="External"/><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64A90-26E2-4CC6-8D34-1FF5ADAE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11</TotalTime>
  <Pages>1</Pages>
  <Words>1061</Words>
  <Characters>5836</Characters>
  <Application>Microsoft Office Word</Application>
  <DocSecurity>8</DocSecurity>
  <Lines>48</Lines>
  <Paragraphs>13</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6884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4</cp:revision>
  <cp:lastPrinted>2020-03-22T15:53:00Z</cp:lastPrinted>
  <dcterms:created xsi:type="dcterms:W3CDTF">2020-03-22T15:44:00Z</dcterms:created>
  <dcterms:modified xsi:type="dcterms:W3CDTF">2021-11-12T14:40:00Z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