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63B48" w14:textId="77777777" w:rsidR="00172004" w:rsidRDefault="00172004" w:rsidP="00172004">
      <w:pPr>
        <w:spacing w:before="120"/>
        <w:outlineLvl w:val="0"/>
        <w:rPr>
          <w:rFonts w:ascii="Arial Narrow" w:hAnsi="Arial Narrow"/>
          <w:b/>
          <w:bCs/>
          <w:kern w:val="36"/>
          <w:sz w:val="28"/>
          <w:szCs w:val="28"/>
          <w:lang w:eastAsia="fr-FR"/>
        </w:rPr>
      </w:pPr>
      <w:r w:rsidRPr="00172004">
        <w:rPr>
          <w:rFonts w:ascii="Arial Narrow" w:hAnsi="Arial Narrow"/>
          <w:b/>
          <w:bCs/>
          <w:kern w:val="36"/>
          <w:sz w:val="28"/>
          <w:szCs w:val="28"/>
          <w:lang w:eastAsia="fr-FR"/>
        </w:rPr>
        <w:t>La responsabilité pour faute des organismes sociaux</w:t>
      </w:r>
      <w:r w:rsidRPr="00A550B4">
        <w:rPr>
          <w:rFonts w:ascii="Arial Narrow" w:hAnsi="Arial Narrow"/>
          <w:b/>
          <w:bCs/>
          <w:kern w:val="36"/>
          <w:sz w:val="28"/>
          <w:szCs w:val="28"/>
          <w:lang w:eastAsia="fr-FR"/>
        </w:rPr>
        <w:t xml:space="preserve"> </w:t>
      </w:r>
      <w:r w:rsidRPr="00172004">
        <w:rPr>
          <w:rFonts w:ascii="Arial Narrow" w:hAnsi="Arial Narrow"/>
          <w:b/>
          <w:bCs/>
          <w:kern w:val="36"/>
          <w:sz w:val="28"/>
          <w:szCs w:val="28"/>
          <w:lang w:eastAsia="fr-FR"/>
        </w:rPr>
        <w:t xml:space="preserve">by Olivia </w:t>
      </w:r>
      <w:proofErr w:type="spellStart"/>
      <w:r w:rsidRPr="00172004">
        <w:rPr>
          <w:rFonts w:ascii="Arial Narrow" w:hAnsi="Arial Narrow"/>
          <w:b/>
          <w:bCs/>
          <w:kern w:val="36"/>
          <w:sz w:val="28"/>
          <w:szCs w:val="28"/>
          <w:lang w:eastAsia="fr-FR"/>
        </w:rPr>
        <w:t>Sigal</w:t>
      </w:r>
      <w:proofErr w:type="spellEnd"/>
    </w:p>
    <w:p w14:paraId="3EDD013D" w14:textId="77777777" w:rsidR="009D5412" w:rsidRPr="009D5412" w:rsidRDefault="009D5412" w:rsidP="00172004">
      <w:pPr>
        <w:spacing w:before="120"/>
        <w:outlineLvl w:val="0"/>
        <w:rPr>
          <w:rFonts w:ascii="Arial Narrow" w:hAnsi="Arial Narrow"/>
          <w:bCs/>
          <w:kern w:val="36"/>
          <w:sz w:val="28"/>
          <w:szCs w:val="28"/>
          <w:lang w:eastAsia="fr-FR"/>
        </w:rPr>
      </w:pPr>
      <w:hyperlink r:id="rId8" w:history="1">
        <w:r w:rsidRPr="00BB38A7">
          <w:rPr>
            <w:rStyle w:val="Lienhypertexte"/>
            <w:rFonts w:ascii="Arial Narrow" w:hAnsi="Arial Narrow"/>
            <w:bCs/>
            <w:kern w:val="36"/>
            <w:sz w:val="28"/>
            <w:szCs w:val="28"/>
            <w:lang w:eastAsia="fr-FR"/>
          </w:rPr>
          <w:t>http://sigal-avocat.com/la-responsabilite-pour-faute-des-organismes-sociaux/</w:t>
        </w:r>
      </w:hyperlink>
      <w:r>
        <w:rPr>
          <w:rFonts w:ascii="Arial Narrow" w:hAnsi="Arial Narrow"/>
          <w:bCs/>
          <w:kern w:val="36"/>
          <w:sz w:val="28"/>
          <w:szCs w:val="28"/>
          <w:lang w:eastAsia="fr-FR"/>
        </w:rPr>
        <w:t xml:space="preserve"> </w:t>
      </w:r>
    </w:p>
    <w:p w14:paraId="3F8550F6" w14:textId="77777777" w:rsidR="00172004" w:rsidRPr="00172004" w:rsidRDefault="00172004" w:rsidP="00996AB7">
      <w:pPr>
        <w:numPr>
          <w:ilvl w:val="0"/>
          <w:numId w:val="15"/>
        </w:numPr>
        <w:tabs>
          <w:tab w:val="left" w:pos="426"/>
        </w:tabs>
        <w:spacing w:before="120"/>
        <w:ind w:left="0" w:firstLine="0"/>
        <w:outlineLvl w:val="1"/>
        <w:rPr>
          <w:rFonts w:ascii="Arial Narrow" w:hAnsi="Arial Narrow"/>
          <w:b/>
          <w:bCs/>
          <w:sz w:val="22"/>
          <w:szCs w:val="22"/>
          <w:lang w:eastAsia="fr-FR"/>
        </w:rPr>
      </w:pPr>
      <w:r w:rsidRPr="00172004">
        <w:rPr>
          <w:rFonts w:ascii="Arial Narrow" w:hAnsi="Arial Narrow"/>
          <w:b/>
          <w:bCs/>
          <w:sz w:val="22"/>
          <w:szCs w:val="22"/>
          <w:lang w:eastAsia="fr-FR"/>
        </w:rPr>
        <w:t>La responsabilité pour faute des organismes sociaux</w:t>
      </w:r>
    </w:p>
    <w:p w14:paraId="787FB200"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 xml:space="preserve">Il a longtemps été difficile de mettre utilement en cause la responsabilité pour </w:t>
      </w:r>
      <w:r w:rsidRPr="00172004">
        <w:rPr>
          <w:rFonts w:ascii="Arial Narrow" w:hAnsi="Arial Narrow"/>
          <w:b/>
          <w:bCs/>
          <w:sz w:val="22"/>
          <w:szCs w:val="22"/>
          <w:lang w:eastAsia="fr-FR"/>
        </w:rPr>
        <w:t>faute des organismes sociaux</w:t>
      </w:r>
      <w:r w:rsidRPr="00172004">
        <w:rPr>
          <w:rFonts w:ascii="Arial Narrow" w:hAnsi="Arial Narrow"/>
          <w:sz w:val="22"/>
          <w:szCs w:val="22"/>
          <w:lang w:eastAsia="fr-FR"/>
        </w:rPr>
        <w:t>.</w:t>
      </w:r>
    </w:p>
    <w:p w14:paraId="55DC9286"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 xml:space="preserve">En pratique, la </w:t>
      </w:r>
      <w:r w:rsidRPr="00172004">
        <w:rPr>
          <w:rFonts w:ascii="Arial Narrow" w:hAnsi="Arial Narrow"/>
          <w:i/>
          <w:iCs/>
          <w:sz w:val="22"/>
          <w:szCs w:val="22"/>
          <w:lang w:eastAsia="fr-FR"/>
        </w:rPr>
        <w:t>faute des organismes sociaux</w:t>
      </w:r>
      <w:r w:rsidRPr="00172004">
        <w:rPr>
          <w:rFonts w:ascii="Arial Narrow" w:hAnsi="Arial Narrow"/>
          <w:sz w:val="22"/>
          <w:szCs w:val="22"/>
          <w:lang w:eastAsia="fr-FR"/>
        </w:rPr>
        <w:t xml:space="preserve"> ne pouvait être retenue qu’en cas de faute grossière ou alors si le préjudice causé excédait les inconvénients normaux liés fonctionnement d’un service public (1).</w:t>
      </w:r>
    </w:p>
    <w:p w14:paraId="09EE0782"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Il n’en va plus ainsi aujourd’hui car la Cour de Cassation a décidé, depuis 1995, qu’une Caisse qui, par sa faute, cause un préjudice à un assuré est tenue de le réparer, peu important que la faute soit ou non grossière, et que le préjudice soit ou non anormal.</w:t>
      </w:r>
    </w:p>
    <w:p w14:paraId="0BA2BE20" w14:textId="77777777" w:rsidR="00172004" w:rsidRPr="00172004" w:rsidRDefault="00172004" w:rsidP="00996AB7">
      <w:pPr>
        <w:numPr>
          <w:ilvl w:val="0"/>
          <w:numId w:val="15"/>
        </w:numPr>
        <w:tabs>
          <w:tab w:val="left" w:pos="426"/>
        </w:tabs>
        <w:spacing w:before="120"/>
        <w:ind w:left="0" w:firstLine="0"/>
        <w:outlineLvl w:val="2"/>
        <w:rPr>
          <w:rFonts w:ascii="Arial Narrow" w:hAnsi="Arial Narrow"/>
          <w:b/>
          <w:bCs/>
          <w:sz w:val="22"/>
          <w:szCs w:val="22"/>
          <w:lang w:eastAsia="fr-FR"/>
        </w:rPr>
      </w:pPr>
      <w:r w:rsidRPr="00172004">
        <w:rPr>
          <w:rFonts w:ascii="Arial Narrow" w:hAnsi="Arial Narrow"/>
          <w:b/>
          <w:bCs/>
          <w:sz w:val="22"/>
          <w:szCs w:val="22"/>
          <w:lang w:eastAsia="fr-FR"/>
        </w:rPr>
        <w:t>La responsabilité pour faute des organismes sociaux n’est donc plus aussi difficile à caractériser.</w:t>
      </w:r>
    </w:p>
    <w:p w14:paraId="7D64986E"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Ainsi, elle a confirmé qu’avait engagé sa responsabilité vis-à-vis de l’un de ses assurés, la CMSA qui s’était contentée de lui indiquer qu’il pourrait bénéficier de la retraite d’ancien combattant à 60 ans, c’est-à-dire le 1er février 1979, sans autre réserve que celle d’avoir à justifier qu’il était titulaire de la carte du combattant alors qu’au vu de l’état signalétique et des services qu’il avait joint à sa demande, la Caisse aurait pu reconstituer facilement le temps de services de guerre de l’intéressé et, par suite, l’alerter sur le fait que sa situation ne lui ouvrirait la possibilité d’obtenir une pension complète d’ancien combattant que deux années plus tard, le 1er février 1981 (2)</w:t>
      </w:r>
    </w:p>
    <w:p w14:paraId="1738A6C1"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Quelques mois plus tard, la Chambre Sociale devait retenir qu’avait commis une faute engageant sa responsabilité la Caisse qui avait subordonné le bénéfice d’une aide (l’aide à la famille pour l’emploi d’une assistante maternelle agréée) attribuable selon la loi à compter du 1er janvier 1991 à la présentation d’un formulaire qui n’était toujours pas disponible à la fin du premier trimestre 1991 (3)</w:t>
      </w:r>
    </w:p>
    <w:p w14:paraId="7361F813"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Ce principe concerne tous les organismes sociaux même l’URSSAF (4) et tous les régimes, même le régime agricole … La Cour de Cassation ayant, au visa de l’article 1382 du code civil, rendu un arrêt soulignant « que lorsqu’une caisse de mutualité sociale agricole, par sa faute, cause un préjudice à un assuré, elle est tenue de le réparer. » (5)</w:t>
      </w:r>
    </w:p>
    <w:p w14:paraId="1076F96D"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 xml:space="preserve">Il existe donc, </w:t>
      </w:r>
      <w:proofErr w:type="spellStart"/>
      <w:r w:rsidRPr="00172004">
        <w:rPr>
          <w:rFonts w:ascii="Arial Narrow" w:hAnsi="Arial Narrow"/>
          <w:sz w:val="22"/>
          <w:szCs w:val="22"/>
          <w:lang w:eastAsia="fr-FR"/>
        </w:rPr>
        <w:t>au delà</w:t>
      </w:r>
      <w:proofErr w:type="spellEnd"/>
      <w:r w:rsidRPr="00172004">
        <w:rPr>
          <w:rFonts w:ascii="Arial Narrow" w:hAnsi="Arial Narrow"/>
          <w:sz w:val="22"/>
          <w:szCs w:val="22"/>
          <w:lang w:eastAsia="fr-FR"/>
        </w:rPr>
        <w:t xml:space="preserve"> des textes qui mettent une obligation précise à la charge des organismes sociaux, une obligation plus générale de fournir des informations exactes et complètes aux assurés ou cotisants qui les interrogent et le manquement à cette obligation, s’il est préjudiciable, peut ouvrir droit à réparation car il constitue une </w:t>
      </w:r>
      <w:r w:rsidRPr="00172004">
        <w:rPr>
          <w:rFonts w:ascii="Arial Narrow" w:hAnsi="Arial Narrow"/>
          <w:sz w:val="22"/>
          <w:szCs w:val="22"/>
          <w:u w:val="single"/>
          <w:lang w:eastAsia="fr-FR"/>
        </w:rPr>
        <w:t>faute des organismes sociaux</w:t>
      </w:r>
      <w:r w:rsidRPr="00172004">
        <w:rPr>
          <w:rFonts w:ascii="Arial Narrow" w:hAnsi="Arial Narrow"/>
          <w:sz w:val="22"/>
          <w:szCs w:val="22"/>
          <w:lang w:eastAsia="fr-FR"/>
        </w:rPr>
        <w:t>.</w:t>
      </w:r>
    </w:p>
    <w:p w14:paraId="3F4B7C47"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Le droit commun de la responsabilité civile peut ainsi venir tempérer les rigueurs du droit de la sécurité sociale en faisant supporter à l’organisme social les conséquences de la faute qu’elle a commise au détriment de l’assuré ou du cotisant.</w:t>
      </w:r>
    </w:p>
    <w:p w14:paraId="4DEB73AD"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Ainsi, lorsqu’une Caisse informe un assuré du fait qu’il a le droit à un congé paternité, que l’intéressé prend une période de congé puis se voit refuser l’indemnité la Caisse – qui ne peut être condamnée à payer les indemnités non dues – peut parfaitement être condamnée à réparer le préjudice subi par l’intéressé du fait d’un manquement de la Caisse à son obligation d’information (6)</w:t>
      </w:r>
    </w:p>
    <w:p w14:paraId="5CC1A36A"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De façon similaire, lorsqu’une Caisse informe son assuré que ses frais de transports seront pris en charge sans lui préciser que la prise en charge possible est plafonnée, elle peut être condamnée à lui rembourser, sur le fondement du droit de la responsabilité, les frais effectivement exposés (7)</w:t>
      </w:r>
    </w:p>
    <w:p w14:paraId="0BA7051C"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difficulté pour caractériser la faute des organismes sociaux est bien évidemment la preuve de l’information fournie.</w:t>
      </w:r>
    </w:p>
    <w:p w14:paraId="217BB05B"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Celle-ci est rapportée sans difficulté lorsqu’il y a un écrit et cela même si le document en cause n’était pas spécialement destiné à l’intéressé.</w:t>
      </w:r>
    </w:p>
    <w:p w14:paraId="21295AD8"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responsabilité de la Caisse ORGANIC a été retenue au profit de la veuve de l’un de ses assurés qui avait subi un préjudice après avoir été induite en erreur par les informations imprécises données par une plaquette distribuée par cette Caisse (8)</w:t>
      </w:r>
    </w:p>
    <w:p w14:paraId="4A8EC465"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lastRenderedPageBreak/>
        <w:t>Il a également été confirmé que « le manquement de l’URSSAF au devoir qu’ont les organismes de sécurité sociale de prendre toutes mesures utiles afin d’assurer l’information générale des assurés sociaux » peut être caractérisé lorsque les documents fournis à un employeur sont insuffisamment précis.</w:t>
      </w:r>
    </w:p>
    <w:p w14:paraId="62112BCF"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C’était le cas de ceux qui ne mentionnaient pas que le délai imparti par la loi pour effectuer la déclaration d’embauche d’un premier salarié était prescrit à peine de forclusion ce qui avait privé un employeur du bénéfice de l’exonération des cotisations patronales liées à l’embauche d’un premier salarié (9)</w:t>
      </w:r>
    </w:p>
    <w:p w14:paraId="47CA8B3A"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preuve est plus délicate à rapporter lorsque l’information a été donnée à l’occasion d’une communication téléphonique mais il arrive que la Caisse reconnaisse qu’une information erronée a pu être donnée et que, faute de contestation véritable de la faute, sa responsabilité soit retenue (10)</w:t>
      </w:r>
    </w:p>
    <w:p w14:paraId="404C008B"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faute peut encore résulter d’une information exacte mais tardive : le retard mis par l’URSSAF à signaler à un employeur qu’il n’est plus en droit de bénéficier d’une exonération peut être considéré comme fautif et ouvrir droit à réparation si l’employeur s’est, de ce fait, trouvé dans une situation financière difficile lui causant un préjudice (11)</w:t>
      </w:r>
    </w:p>
    <w:p w14:paraId="3EBDB17C"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question de l’existence de la faute peut être délicate à trancher en cas de changement de la législation ou de la réglementation applicable.</w:t>
      </w:r>
    </w:p>
    <w:p w14:paraId="0E4EA57C"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Aussi, la Cour de Cassation a progressivement tracé les limites des obligations des organismes sociaux dans de telles circonstances.</w:t>
      </w:r>
    </w:p>
    <w:p w14:paraId="7A2F4BCD"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Elle a ainsi dit – à l’occasion de l’entrée en vigueur de la loi du 31 décembre 1975 – que l’organisme social responsable du régime modifié a pour seule obligation d’informer les intéressés des nouvelles règles applicables.</w:t>
      </w:r>
    </w:p>
    <w:p w14:paraId="037BFBCD" w14:textId="77777777" w:rsidR="00172004" w:rsidRPr="00172004" w:rsidRDefault="00172004" w:rsidP="00172004">
      <w:pPr>
        <w:spacing w:before="120"/>
        <w:rPr>
          <w:rFonts w:ascii="Arial Narrow" w:hAnsi="Arial Narrow"/>
          <w:sz w:val="22"/>
          <w:szCs w:val="22"/>
          <w:lang w:eastAsia="fr-FR"/>
        </w:rPr>
      </w:pPr>
      <w:proofErr w:type="spellStart"/>
      <w:r w:rsidRPr="00172004">
        <w:rPr>
          <w:rFonts w:ascii="Arial Narrow" w:hAnsi="Arial Narrow"/>
          <w:sz w:val="22"/>
          <w:szCs w:val="22"/>
          <w:lang w:eastAsia="fr-FR"/>
        </w:rPr>
        <w:t>A</w:t>
      </w:r>
      <w:proofErr w:type="spellEnd"/>
      <w:r w:rsidRPr="00172004">
        <w:rPr>
          <w:rFonts w:ascii="Arial Narrow" w:hAnsi="Arial Narrow"/>
          <w:sz w:val="22"/>
          <w:szCs w:val="22"/>
          <w:lang w:eastAsia="fr-FR"/>
        </w:rPr>
        <w:t xml:space="preserve"> l’époque, la Maison des artistes (qui gérait jusqu’alors le régime d’assurance maladie, maternité et décès des artistes, peintres, sculpteurs et graveurs) avait diffusé auprès de ses assurés des notes d’information sur le nouveau régime de sécurité sociale des artistes auteurs d’œuvres graphiques et plastiques ainsi que sur ses incidences sur les cotisations à verser par les intéressés pour les différents risques.</w:t>
      </w:r>
    </w:p>
    <w:p w14:paraId="4677928E"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Cette note relative aux ‘dispositions transitoires’ avait attiré l’attention des artistes affiliés au régime d’assurance maladie, maternité et décès au 31 décembre 1976 sur le fait qu’ils n’auraient plus à verser de cotisations à la caisse d’allocations familiales à compter du 1er janvier 1977 au titre de leur activité de travailleurs indépendants et qu’il convenait pour eux d’entreprendre des démarches en vue d’obtenir l’annulation de l’appel ou le remboursement des cotisations éventuellement versées à ce titre pour l’année 1977.</w:t>
      </w:r>
    </w:p>
    <w:p w14:paraId="743E3C6E"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Un assuré qui n’avait pas lu la note de façon attentive avait continué pendant plusieurs années de verser les cotisations appelées par l’URSSAF puis, réalisant son erreur, il avait sollicité la condamnation de l’URSSAF au paiement d’une somme équivalente au montant des cotisations indument versées en prétendant que cet organisme social avait manqué à son obligation d’information à son égard.</w:t>
      </w:r>
    </w:p>
    <w:p w14:paraId="12A148EA"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Soulignant « que l’intéressé avait bénéficié d’une information suffisante sur son affiliation de la part de l’organisme compétent » (c’est-à-dire de la Caisse) la Cour de Cassation a confirmé l’arrêt qui l’avait débouté de sa demande au motif « qu’il ne saurait être imposé à l’URSSAF de prendre l’initiative d’une information individuelle d’un cotisant alors que les droits auxquels celui-ci peut prétendre et qu’il allègue ignorer se déduisent directement de la mise en application d’une nouvelle loi. » (12)</w:t>
      </w:r>
    </w:p>
    <w:p w14:paraId="507703B6"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Cour de Cassation a également précisé que, sauf disposition législative particulière, l’obligation générale d’information qui pèse sur les organismes sociaux ne concerne que l’état de la législation en vigueur. Elle ne peut être étendue à la portée d’un texte nouveau dont les conditions d’application ne sont pas encore fixées (13)</w:t>
      </w:r>
    </w:p>
    <w:p w14:paraId="00D63AA2"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Cour de Cassation a même du ajouter que ne constitue pas une faute susceptible d’engager la responsabilité de l’URSSAF vis-à-vis des cotisants son interprétation erronée d’un texte (14)</w:t>
      </w:r>
    </w:p>
    <w:p w14:paraId="35940057"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Une information fausse reposant sur une telle interprétation n’engage donc pas la responsabilité de l’organisme social.</w:t>
      </w:r>
    </w:p>
    <w:p w14:paraId="09DDD8E2"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Une information erronée n’engage pas non plus la responsabilité de la Caisse s’il existait un élément décisif dont elle ne connaissait pas l’existence (15) puisque dans cette hypothèse il n’y a pas vraiment faute.</w:t>
      </w:r>
    </w:p>
    <w:p w14:paraId="1ED61BCA"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lastRenderedPageBreak/>
        <w:t>Enfin, conformément aux règles du droit commun, l’action en responsabilité ne peut prospérer que si la faute alléguée a été à l’origine d’un préjudice. Aucune réparation n’est possible si elle est demeurée sans conséquence.</w:t>
      </w:r>
    </w:p>
    <w:p w14:paraId="16F4C504"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La Cour de Cassation l’a rappelé à l’occasion d’un litige opposant la Caisse Nationale d’Assurance Vieillesse à l’héritière d’une assurée qui avait bénéficié d’un trop perçu à raison d’</w:t>
      </w:r>
      <w:proofErr w:type="spellStart"/>
      <w:r w:rsidRPr="00172004">
        <w:rPr>
          <w:rFonts w:ascii="Arial Narrow" w:hAnsi="Arial Narrow"/>
          <w:sz w:val="22"/>
          <w:szCs w:val="22"/>
          <w:lang w:eastAsia="fr-FR"/>
        </w:rPr>
        <w:t>unne</w:t>
      </w:r>
      <w:proofErr w:type="spellEnd"/>
      <w:r w:rsidRPr="00172004">
        <w:rPr>
          <w:rFonts w:ascii="Arial Narrow" w:hAnsi="Arial Narrow"/>
          <w:sz w:val="22"/>
          <w:szCs w:val="22"/>
          <w:lang w:eastAsia="fr-FR"/>
        </w:rPr>
        <w:t xml:space="preserve"> erreur de la Caisse. Aucune réparation n’était due dans la mesure où la succession était demeurée bénéficiaire une fois l’indu remboursé (16)</w:t>
      </w:r>
    </w:p>
    <w:p w14:paraId="4736D982"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On peut imaginer que la solution aurait été bien différente si la créance non négligeable de la Caisse (288.630,07 francs) avait rendu la succession déficitaire. L’héritière aurait alors pu demander à la Caisse réparation du préjudice résultant de sa faute en faisant valoir que sans celle-ci elle n’aurait pas accepté la succession …</w:t>
      </w:r>
    </w:p>
    <w:p w14:paraId="1E432CC4" w14:textId="77777777" w:rsidR="00172004" w:rsidRPr="00172004" w:rsidRDefault="00172004" w:rsidP="00172004">
      <w:pPr>
        <w:spacing w:before="120"/>
        <w:rPr>
          <w:rFonts w:ascii="Arial Narrow" w:hAnsi="Arial Narrow"/>
          <w:sz w:val="22"/>
          <w:szCs w:val="22"/>
          <w:lang w:eastAsia="fr-FR"/>
        </w:rPr>
      </w:pPr>
      <w:proofErr w:type="spellStart"/>
      <w:r w:rsidRPr="00172004">
        <w:rPr>
          <w:rFonts w:ascii="Arial Narrow" w:hAnsi="Arial Narrow"/>
          <w:sz w:val="22"/>
          <w:szCs w:val="22"/>
          <w:lang w:eastAsia="fr-FR"/>
        </w:rPr>
        <w:t>A</w:t>
      </w:r>
      <w:proofErr w:type="spellEnd"/>
      <w:r w:rsidRPr="00172004">
        <w:rPr>
          <w:rFonts w:ascii="Arial Narrow" w:hAnsi="Arial Narrow"/>
          <w:sz w:val="22"/>
          <w:szCs w:val="22"/>
          <w:lang w:eastAsia="fr-FR"/>
        </w:rPr>
        <w:t xml:space="preserve"> propos de remboursement de prestations indues, il faut rappeler que le seul fait d’avoir à rembourser un indu ne suffit pas à lui seul pour caractériser un préjudice. Il faut encore pour obtenir des dommages-intérêts que le remboursement excède manifestement les inconvénients normaux d’une restitution de l’indu.</w:t>
      </w:r>
    </w:p>
    <w:p w14:paraId="12191B32"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Enfin, il faut pour qu’une condamnation à réparer un préjudice soit prononcée, que le cotisant ou assuré en cause présente une demande à cet effet de façon directe ou subsidiaire, à titre principal ou encore à titre reconventionnel (17)</w:t>
      </w:r>
    </w:p>
    <w:p w14:paraId="68350549"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Lorsque la question se pose devant les juridictions du contentieux général de la sécurité sociale, dans la mesure où la procédure est orale et que les assurés ne sont pas toujours représentés, la Cour de Cassation n’exige pas que le moyen soit parfaitement articulé.</w:t>
      </w:r>
    </w:p>
    <w:p w14:paraId="55189D3B"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Les juges peuvent faire droit à des demandes implicites (18). En pratique, il suffit que l’assuré ait reproché à la caisse un manquement à son obligation d’information et évalué le préjudice en résultant (19) mais il doit l’avoir fait dès la première instance.</w:t>
      </w:r>
    </w:p>
    <w:p w14:paraId="2C54C6DD" w14:textId="77777777" w:rsidR="00172004" w:rsidRPr="00172004" w:rsidRDefault="00172004" w:rsidP="00172004">
      <w:pPr>
        <w:spacing w:before="120"/>
        <w:rPr>
          <w:rFonts w:ascii="Arial Narrow" w:hAnsi="Arial Narrow"/>
          <w:sz w:val="22"/>
          <w:szCs w:val="22"/>
          <w:lang w:eastAsia="fr-FR"/>
        </w:rPr>
      </w:pPr>
      <w:r w:rsidRPr="00172004">
        <w:rPr>
          <w:rFonts w:ascii="Arial Narrow" w:hAnsi="Arial Narrow"/>
          <w:sz w:val="22"/>
          <w:szCs w:val="22"/>
          <w:lang w:eastAsia="fr-FR"/>
        </w:rPr>
        <w:t>Le moyen pris de la responsabilité de l’organisme social est irrecevable s’il est soutenu pour la première fois en cause d’appel (20) .</w:t>
      </w:r>
    </w:p>
    <w:p w14:paraId="4B5DCB60" w14:textId="77777777" w:rsidR="00D44354" w:rsidRPr="00160738" w:rsidRDefault="00160738" w:rsidP="00172004">
      <w:pPr>
        <w:spacing w:before="120"/>
        <w:rPr>
          <w:rFonts w:ascii="Arial Narrow" w:hAnsi="Arial Narrow"/>
          <w:b/>
          <w:sz w:val="22"/>
          <w:szCs w:val="22"/>
          <w:lang w:eastAsia="fr-FR"/>
        </w:rPr>
      </w:pPr>
      <w:r w:rsidRPr="00160738">
        <w:rPr>
          <w:rFonts w:ascii="Arial Narrow" w:hAnsi="Arial Narrow"/>
          <w:sz w:val="22"/>
          <w:szCs w:val="22"/>
        </w:rPr>
        <w:t>1 Cass. Soc. 4 novembre 1993, sur le pourvoi : 90-20939</w:t>
      </w:r>
      <w:r w:rsidRPr="00160738">
        <w:rPr>
          <w:rFonts w:ascii="Arial Narrow" w:hAnsi="Arial Narrow"/>
          <w:sz w:val="22"/>
          <w:szCs w:val="22"/>
        </w:rPr>
        <w:br/>
        <w:t>2 Cass. Soc. 12 juillet 1995 Bull V N° 242</w:t>
      </w:r>
      <w:r w:rsidRPr="00160738">
        <w:rPr>
          <w:rFonts w:ascii="Arial Narrow" w:hAnsi="Arial Narrow"/>
          <w:sz w:val="22"/>
          <w:szCs w:val="22"/>
        </w:rPr>
        <w:br/>
        <w:t>3 Cass. Soc. 12 octobre 1995 Bull V N° 269</w:t>
      </w:r>
      <w:r w:rsidRPr="00160738">
        <w:rPr>
          <w:rFonts w:ascii="Arial Narrow" w:hAnsi="Arial Narrow"/>
          <w:sz w:val="22"/>
          <w:szCs w:val="22"/>
        </w:rPr>
        <w:br/>
        <w:t>4 Cass. Soc. 8 mars 2001 Bull V N° 76</w:t>
      </w:r>
      <w:r w:rsidRPr="00160738">
        <w:rPr>
          <w:rFonts w:ascii="Arial Narrow" w:hAnsi="Arial Narrow"/>
          <w:sz w:val="22"/>
          <w:szCs w:val="22"/>
        </w:rPr>
        <w:br/>
        <w:t xml:space="preserve">5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12 juillet 2006, sur le pourvoi: 05-11463</w:t>
      </w:r>
      <w:r w:rsidRPr="00160738">
        <w:rPr>
          <w:rFonts w:ascii="Arial Narrow" w:hAnsi="Arial Narrow"/>
          <w:sz w:val="22"/>
          <w:szCs w:val="22"/>
        </w:rPr>
        <w:br/>
        <w:t xml:space="preserve">6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16 octobre 2008 Bull II, n° 212, sur le pourvoi: 07-18493</w:t>
      </w:r>
      <w:r w:rsidRPr="00160738">
        <w:rPr>
          <w:rFonts w:ascii="Arial Narrow" w:hAnsi="Arial Narrow"/>
          <w:sz w:val="22"/>
          <w:szCs w:val="22"/>
        </w:rPr>
        <w:br/>
        <w:t>7 Cass. Soc. 5 novembre 1999, Bull V N° 430 sur le pourvoi : 98-11309, pour une prise en charge à l’étranger,</w:t>
      </w:r>
      <w:r w:rsidRPr="00160738">
        <w:rPr>
          <w:rFonts w:ascii="Arial Narrow" w:hAnsi="Arial Narrow"/>
          <w:sz w:val="22"/>
          <w:szCs w:val="22"/>
        </w:rPr>
        <w:br/>
        <w:t xml:space="preserve">Cass. </w:t>
      </w:r>
      <w:proofErr w:type="spellStart"/>
      <w:r w:rsidRPr="00160738">
        <w:rPr>
          <w:rFonts w:ascii="Arial Narrow" w:hAnsi="Arial Narrow"/>
          <w:sz w:val="22"/>
          <w:szCs w:val="22"/>
        </w:rPr>
        <w:t>Civ</w:t>
      </w:r>
      <w:proofErr w:type="spellEnd"/>
      <w:r w:rsidRPr="00160738">
        <w:rPr>
          <w:rFonts w:ascii="Arial Narrow" w:hAnsi="Arial Narrow"/>
          <w:sz w:val="22"/>
          <w:szCs w:val="22"/>
        </w:rPr>
        <w:t xml:space="preserve">. 2ème 16 octobre 2008, sur le pourvoi: 07-18492 et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11 septembre 2008 sur le pourvoi: 07-15619pour une prise en charge en France.</w:t>
      </w:r>
      <w:r w:rsidRPr="00160738">
        <w:rPr>
          <w:rFonts w:ascii="Arial Narrow" w:hAnsi="Arial Narrow"/>
          <w:sz w:val="22"/>
          <w:szCs w:val="22"/>
        </w:rPr>
        <w:br/>
        <w:t xml:space="preserve">8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30 novembre 2004, sur le pourvoi: 03-30351</w:t>
      </w:r>
      <w:r w:rsidRPr="00160738">
        <w:rPr>
          <w:rFonts w:ascii="Arial Narrow" w:hAnsi="Arial Narrow"/>
          <w:sz w:val="22"/>
          <w:szCs w:val="22"/>
        </w:rPr>
        <w:br/>
        <w:t>9 Cass. Soc. 31 mai 2001, Bull V N° 201</w:t>
      </w:r>
      <w:r w:rsidRPr="00160738">
        <w:rPr>
          <w:rFonts w:ascii="Arial Narrow" w:hAnsi="Arial Narrow"/>
          <w:sz w:val="22"/>
          <w:szCs w:val="22"/>
        </w:rPr>
        <w:br/>
        <w:t xml:space="preserve">10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16 octobre 2008, sur le pourvoi: 07-18492</w:t>
      </w:r>
      <w:r w:rsidRPr="00160738">
        <w:rPr>
          <w:rFonts w:ascii="Arial Narrow" w:hAnsi="Arial Narrow"/>
          <w:sz w:val="22"/>
          <w:szCs w:val="22"/>
        </w:rPr>
        <w:br/>
        <w:t>11 Cass. Soc. 29 mars 2001, sur le pourvoi : 99-14606</w:t>
      </w:r>
      <w:r w:rsidRPr="00160738">
        <w:rPr>
          <w:rFonts w:ascii="Arial Narrow" w:hAnsi="Arial Narrow"/>
          <w:sz w:val="22"/>
          <w:szCs w:val="22"/>
        </w:rPr>
        <w:br/>
        <w:t xml:space="preserve">12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6 mars 2008, sur le pourvoi : 07-11812</w:t>
      </w:r>
      <w:r w:rsidRPr="00160738">
        <w:rPr>
          <w:rFonts w:ascii="Arial Narrow" w:hAnsi="Arial Narrow"/>
          <w:sz w:val="22"/>
          <w:szCs w:val="22"/>
        </w:rPr>
        <w:br/>
        <w:t xml:space="preserve">13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11 septembre 2008, sur le pourvoi: 07-14901</w:t>
      </w:r>
      <w:r w:rsidRPr="00160738">
        <w:rPr>
          <w:rFonts w:ascii="Arial Narrow" w:hAnsi="Arial Narrow"/>
          <w:sz w:val="22"/>
          <w:szCs w:val="22"/>
        </w:rPr>
        <w:br/>
        <w:t xml:space="preserve">14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20 décembre 2007, sur le pourvoi : 06-17889,</w:t>
      </w:r>
      <w:r w:rsidRPr="00160738">
        <w:rPr>
          <w:rFonts w:ascii="Arial Narrow" w:hAnsi="Arial Narrow"/>
          <w:sz w:val="22"/>
          <w:szCs w:val="22"/>
        </w:rPr>
        <w:br/>
        <w:t xml:space="preserve">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12 mars 2009, sur le pourvoi: 08-11210, à publier</w:t>
      </w:r>
      <w:r w:rsidRPr="00160738">
        <w:rPr>
          <w:rFonts w:ascii="Arial Narrow" w:hAnsi="Arial Narrow"/>
          <w:sz w:val="22"/>
          <w:szCs w:val="22"/>
        </w:rPr>
        <w:br/>
        <w:t xml:space="preserve">15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12 juillet 2006, sur le pourvoi: 05-11463, à propos d’un conseil donné par la CMSA sans que l’on sache si elle avait eu connaissance de la décision de la COTOREP appréciant le taux d’invalidité de l’assuré et lui ouvrant droit à l’AAH</w:t>
      </w:r>
      <w:r w:rsidRPr="00160738">
        <w:rPr>
          <w:rFonts w:ascii="Arial Narrow" w:hAnsi="Arial Narrow"/>
          <w:sz w:val="22"/>
          <w:szCs w:val="22"/>
        </w:rPr>
        <w:br/>
        <w:t xml:space="preserve">16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21 septembre 2004, pourvoi: 03-30358</w:t>
      </w:r>
      <w:r w:rsidRPr="00160738">
        <w:rPr>
          <w:rFonts w:ascii="Arial Narrow" w:hAnsi="Arial Narrow"/>
          <w:sz w:val="22"/>
          <w:szCs w:val="22"/>
        </w:rPr>
        <w:br/>
        <w:t xml:space="preserve">17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12 juillet 2006, sur le pourvoi : 05-11725</w:t>
      </w:r>
      <w:r w:rsidRPr="00160738">
        <w:rPr>
          <w:rFonts w:ascii="Arial Narrow" w:hAnsi="Arial Narrow"/>
          <w:sz w:val="22"/>
          <w:szCs w:val="22"/>
        </w:rPr>
        <w:br/>
        <w:t xml:space="preserve">18Cass.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16 octobre 2008, sur le pourvoi: 07-18492</w:t>
      </w:r>
      <w:r w:rsidRPr="00160738">
        <w:rPr>
          <w:rFonts w:ascii="Arial Narrow" w:hAnsi="Arial Narrow"/>
          <w:sz w:val="22"/>
          <w:szCs w:val="22"/>
        </w:rPr>
        <w:br/>
        <w:t xml:space="preserve">19Cass.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11 septembre 2008 sur le pourvoi: 07-15619</w:t>
      </w:r>
      <w:r w:rsidRPr="00160738">
        <w:rPr>
          <w:rFonts w:ascii="Arial Narrow" w:hAnsi="Arial Narrow"/>
          <w:sz w:val="22"/>
          <w:szCs w:val="22"/>
        </w:rPr>
        <w:br/>
        <w:t xml:space="preserve">20 Cass. </w:t>
      </w:r>
      <w:proofErr w:type="spellStart"/>
      <w:r w:rsidRPr="00160738">
        <w:rPr>
          <w:rFonts w:ascii="Arial Narrow" w:hAnsi="Arial Narrow"/>
          <w:sz w:val="22"/>
          <w:szCs w:val="22"/>
        </w:rPr>
        <w:t>Civ</w:t>
      </w:r>
      <w:proofErr w:type="spellEnd"/>
      <w:r w:rsidRPr="00160738">
        <w:rPr>
          <w:rFonts w:ascii="Arial Narrow" w:hAnsi="Arial Narrow"/>
          <w:sz w:val="22"/>
          <w:szCs w:val="22"/>
        </w:rPr>
        <w:t>. 2ème 5 février 2004, sur le pourvoi: 02-31046</w:t>
      </w:r>
    </w:p>
    <w:p w14:paraId="684FF977" w14:textId="77777777" w:rsidR="00172004" w:rsidRDefault="00172004">
      <w:pPr>
        <w:spacing w:before="0"/>
        <w:rPr>
          <w:rFonts w:ascii="Arial Narrow" w:hAnsi="Arial Narrow"/>
          <w:b/>
          <w:sz w:val="22"/>
          <w:szCs w:val="22"/>
          <w:lang w:eastAsia="fr-FR"/>
        </w:rPr>
      </w:pPr>
      <w:r>
        <w:rPr>
          <w:rFonts w:ascii="Arial Narrow" w:hAnsi="Arial Narrow"/>
          <w:b/>
          <w:sz w:val="22"/>
          <w:szCs w:val="22"/>
          <w:lang w:eastAsia="fr-FR"/>
        </w:rPr>
        <w:br w:type="page"/>
      </w:r>
    </w:p>
    <w:p w14:paraId="5F223108" w14:textId="77777777" w:rsidR="00127BCD" w:rsidRPr="00127BCD" w:rsidRDefault="00127BCD" w:rsidP="00172004">
      <w:pPr>
        <w:spacing w:before="120"/>
        <w:rPr>
          <w:rFonts w:ascii="Arial Narrow" w:hAnsi="Arial Narrow"/>
          <w:b/>
          <w:sz w:val="22"/>
          <w:szCs w:val="22"/>
          <w:lang w:eastAsia="fr-FR"/>
        </w:rPr>
      </w:pPr>
      <w:r w:rsidRPr="00127BCD">
        <w:rPr>
          <w:rFonts w:ascii="Arial Narrow" w:hAnsi="Arial Narrow"/>
          <w:b/>
          <w:sz w:val="22"/>
          <w:szCs w:val="22"/>
          <w:lang w:eastAsia="fr-FR"/>
        </w:rPr>
        <w:lastRenderedPageBreak/>
        <w:t>PARTIE 3 -Contentieux de la Sécurité sociale</w:t>
      </w:r>
    </w:p>
    <w:p w14:paraId="3DBFE1D7" w14:textId="77777777" w:rsidR="00127BCD" w:rsidRPr="00127BCD" w:rsidRDefault="00127BCD" w:rsidP="00172004">
      <w:pPr>
        <w:spacing w:before="120"/>
        <w:rPr>
          <w:rFonts w:ascii="Arial Narrow" w:hAnsi="Arial Narrow"/>
          <w:sz w:val="22"/>
          <w:szCs w:val="22"/>
          <w:lang w:eastAsia="fr-FR"/>
        </w:rPr>
      </w:pPr>
      <w:r w:rsidRPr="00127BCD">
        <w:rPr>
          <w:rFonts w:ascii="Arial Narrow" w:hAnsi="Arial Narrow"/>
          <w:sz w:val="22"/>
          <w:szCs w:val="22"/>
          <w:lang w:eastAsia="fr-FR"/>
        </w:rPr>
        <w:t>Chapitre 1 - </w:t>
      </w:r>
    </w:p>
    <w:p w14:paraId="0547B818" w14:textId="77777777" w:rsidR="00127BCD" w:rsidRPr="00172004"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Contentieux — Principes généraux</w:t>
      </w:r>
      <w:r w:rsidRPr="00172004">
        <w:rPr>
          <w:rFonts w:ascii="Arial Narrow" w:hAnsi="Arial Narrow"/>
          <w:sz w:val="22"/>
          <w:szCs w:val="22"/>
          <w:lang w:eastAsia="fr-FR"/>
        </w:rPr>
        <w:t xml:space="preserve"> </w:t>
      </w:r>
      <w:r w:rsidRPr="00172004">
        <w:rPr>
          <w:rFonts w:ascii="Arial Narrow" w:hAnsi="Arial Narrow"/>
          <w:sz w:val="22"/>
          <w:szCs w:val="22"/>
          <w:lang w:eastAsia="fr-FR"/>
        </w:rPr>
        <w:tab/>
        <w:t>2973</w:t>
      </w:r>
    </w:p>
    <w:p w14:paraId="2B6E3308" w14:textId="77777777" w:rsidR="00E82D4F" w:rsidRPr="00127BCD" w:rsidRDefault="00497AA8" w:rsidP="00127BCD">
      <w:pPr>
        <w:spacing w:before="120"/>
        <w:rPr>
          <w:rFonts w:ascii="Arial Narrow" w:hAnsi="Arial Narrow"/>
          <w:sz w:val="22"/>
          <w:szCs w:val="22"/>
          <w:lang w:eastAsia="fr-FR"/>
        </w:rPr>
      </w:pPr>
      <w:hyperlink r:id="rId9" w:history="1">
        <w:r w:rsidR="00E82D4F" w:rsidRPr="00172004">
          <w:rPr>
            <w:rStyle w:val="Lienhypertexte"/>
            <w:rFonts w:ascii="Arial Narrow" w:hAnsi="Arial Narrow"/>
            <w:sz w:val="22"/>
            <w:szCs w:val="22"/>
            <w:lang w:eastAsia="fr-FR"/>
          </w:rPr>
          <w:t>http://www.wk-rh.fr/preview/BeDhHlCfHnEiFjDgDhKp/edition/lps/lamy_protection_sociale_2013/2973_responsabilite_civile_des_organismes_de_securite_sociale</w:t>
        </w:r>
      </w:hyperlink>
      <w:r w:rsidR="00E82D4F" w:rsidRPr="00172004">
        <w:rPr>
          <w:rFonts w:ascii="Arial Narrow" w:hAnsi="Arial Narrow"/>
          <w:sz w:val="22"/>
          <w:szCs w:val="22"/>
          <w:lang w:eastAsia="fr-FR"/>
        </w:rPr>
        <w:t xml:space="preserve"> </w:t>
      </w:r>
    </w:p>
    <w:p w14:paraId="3DA88A3B" w14:textId="77777777" w:rsidR="00127BCD" w:rsidRPr="00127BCD" w:rsidRDefault="00127BCD" w:rsidP="00127BCD">
      <w:pPr>
        <w:spacing w:before="120"/>
        <w:rPr>
          <w:rFonts w:ascii="Arial Narrow" w:hAnsi="Arial Narrow"/>
          <w:b/>
          <w:sz w:val="22"/>
          <w:szCs w:val="22"/>
          <w:lang w:eastAsia="fr-FR"/>
        </w:rPr>
      </w:pPr>
      <w:r w:rsidRPr="00127BCD">
        <w:rPr>
          <w:rFonts w:ascii="Arial Narrow" w:hAnsi="Arial Narrow"/>
          <w:b/>
          <w:sz w:val="22"/>
          <w:szCs w:val="22"/>
          <w:lang w:eastAsia="fr-FR"/>
        </w:rPr>
        <w:t>Responsabilité civile des organismes de sécurité sociale</w:t>
      </w:r>
    </w:p>
    <w:p w14:paraId="05CBC87D" w14:textId="77777777" w:rsidR="00127BCD" w:rsidRPr="00172004" w:rsidRDefault="00127BCD" w:rsidP="00127BCD">
      <w:pPr>
        <w:pStyle w:val="Paragraphedeliste"/>
        <w:numPr>
          <w:ilvl w:val="0"/>
          <w:numId w:val="29"/>
        </w:numPr>
        <w:spacing w:before="120"/>
        <w:rPr>
          <w:rFonts w:ascii="Arial Narrow" w:hAnsi="Arial Narrow"/>
          <w:b/>
          <w:lang w:eastAsia="fr-FR"/>
        </w:rPr>
      </w:pPr>
      <w:r w:rsidRPr="00172004">
        <w:rPr>
          <w:rFonts w:ascii="Arial Narrow" w:hAnsi="Arial Narrow"/>
          <w:b/>
          <w:lang w:eastAsia="fr-FR"/>
        </w:rPr>
        <w:t>Principe</w:t>
      </w:r>
    </w:p>
    <w:p w14:paraId="75D708B9"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En tant qu'organismes privés, tous les organismes de sécurité sociale sont soumis au droit de la responsabilité civile pour faute de l'article 1382 du Code civil.</w:t>
      </w:r>
    </w:p>
    <w:p w14:paraId="55768C94"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Tout usager, employeur ou assuré social qui s'estime lésé, peut demander des dommages-intérêts devant les juridictions du contentieux général de la Sécurité sociale. Sur les relations entre les organismes et les usages, voir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65 et s.</w:t>
      </w:r>
    </w:p>
    <w:p w14:paraId="3FFBEED8"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La demande en dommages-intérêts peut intervenir de deux façons :</w:t>
      </w:r>
    </w:p>
    <w:p w14:paraId="3F06AF95" w14:textId="77777777" w:rsidR="00127BCD" w:rsidRPr="00127BCD" w:rsidRDefault="00127BCD" w:rsidP="00346206">
      <w:pPr>
        <w:numPr>
          <w:ilvl w:val="0"/>
          <w:numId w:val="25"/>
        </w:numPr>
        <w:spacing w:before="120"/>
        <w:rPr>
          <w:rFonts w:ascii="Arial Narrow" w:hAnsi="Arial Narrow"/>
          <w:sz w:val="22"/>
          <w:szCs w:val="22"/>
          <w:lang w:eastAsia="fr-FR"/>
        </w:rPr>
      </w:pPr>
      <w:r w:rsidRPr="00127BCD">
        <w:rPr>
          <w:rFonts w:ascii="Arial Narrow" w:hAnsi="Arial Narrow"/>
          <w:sz w:val="22"/>
          <w:szCs w:val="22"/>
          <w:lang w:eastAsia="fr-FR"/>
        </w:rPr>
        <w:t>— soit directement jointe au recours introduit par le demandeur devant le tribunal des affaires de sécurité sociale : en effet, les actions en dommages et intérêts engagées devant les juridictions de droit commun échappent à la règle selon laquelle toute procédure de sécurité sociale comporte une saisine préalable de la commission de recours amiable (</w:t>
      </w:r>
      <w:hyperlink r:id="rId10" w:history="1">
        <w:r w:rsidRPr="00127BCD">
          <w:rPr>
            <w:rFonts w:ascii="Arial Narrow" w:hAnsi="Arial Narrow"/>
            <w:color w:val="0000FF"/>
            <w:sz w:val="22"/>
            <w:szCs w:val="22"/>
            <w:u w:val="single"/>
            <w:lang w:eastAsia="fr-FR"/>
          </w:rPr>
          <w:t>Cass. soc., 28 avr. 1994,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91-20.609</w:t>
        </w:r>
      </w:hyperlink>
      <w:r w:rsidRPr="00127BCD">
        <w:rPr>
          <w:rFonts w:ascii="Arial Narrow" w:hAnsi="Arial Narrow"/>
          <w:sz w:val="22"/>
          <w:szCs w:val="22"/>
          <w:lang w:eastAsia="fr-FR"/>
        </w:rPr>
        <w:t>) ;</w:t>
      </w:r>
    </w:p>
    <w:p w14:paraId="7E8ABC2B" w14:textId="77777777" w:rsidR="00127BCD" w:rsidRPr="00127BCD" w:rsidRDefault="00127BCD" w:rsidP="00EC4677">
      <w:pPr>
        <w:numPr>
          <w:ilvl w:val="0"/>
          <w:numId w:val="25"/>
        </w:numPr>
        <w:spacing w:before="120"/>
        <w:rPr>
          <w:rFonts w:ascii="Arial Narrow" w:hAnsi="Arial Narrow"/>
          <w:sz w:val="22"/>
          <w:szCs w:val="22"/>
          <w:lang w:eastAsia="fr-FR"/>
        </w:rPr>
      </w:pPr>
      <w:r w:rsidRPr="00127BCD">
        <w:rPr>
          <w:rFonts w:ascii="Arial Narrow" w:hAnsi="Arial Narrow"/>
          <w:sz w:val="22"/>
          <w:szCs w:val="22"/>
          <w:lang w:eastAsia="fr-FR"/>
        </w:rPr>
        <w:t>— soit sous forme de demande reconventionnelle faisant suite à une action engagée par l'organisme de recouvrement.</w:t>
      </w:r>
    </w:p>
    <w:p w14:paraId="2B61C40B"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 xml:space="preserve">— Sur le </w:t>
      </w:r>
      <w:r w:rsidRPr="00127BCD">
        <w:rPr>
          <w:rFonts w:ascii="Arial Narrow" w:hAnsi="Arial Narrow"/>
          <w:b/>
          <w:bCs/>
          <w:sz w:val="22"/>
          <w:szCs w:val="22"/>
          <w:lang w:eastAsia="fr-FR"/>
        </w:rPr>
        <w:t>tribunal des affaires de sécurité sociale</w:t>
      </w:r>
      <w:r w:rsidRPr="00127BCD">
        <w:rPr>
          <w:rFonts w:ascii="Arial Narrow" w:hAnsi="Arial Narrow"/>
          <w:sz w:val="22"/>
          <w:szCs w:val="22"/>
          <w:lang w:eastAsia="fr-FR"/>
        </w:rPr>
        <w:t>, voir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2984 et s.</w:t>
      </w:r>
    </w:p>
    <w:p w14:paraId="60AAAEBD" w14:textId="77777777" w:rsidR="00127BCD" w:rsidRPr="00172004" w:rsidRDefault="00127BCD" w:rsidP="00127BCD">
      <w:pPr>
        <w:pStyle w:val="Paragraphedeliste"/>
        <w:numPr>
          <w:ilvl w:val="0"/>
          <w:numId w:val="29"/>
        </w:numPr>
        <w:spacing w:before="120"/>
        <w:rPr>
          <w:rFonts w:ascii="Arial Narrow" w:hAnsi="Arial Narrow"/>
          <w:b/>
          <w:lang w:eastAsia="fr-FR"/>
        </w:rPr>
      </w:pPr>
      <w:r w:rsidRPr="00172004">
        <w:rPr>
          <w:rFonts w:ascii="Arial Narrow" w:hAnsi="Arial Narrow"/>
          <w:b/>
          <w:lang w:eastAsia="fr-FR"/>
        </w:rPr>
        <w:t>Fait générateur</w:t>
      </w:r>
    </w:p>
    <w:p w14:paraId="0EFE7336"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 xml:space="preserve">La Cour de cassation, s'inspirant des principes issus du droit administratif, </w:t>
      </w:r>
      <w:r w:rsidRPr="00127BCD">
        <w:rPr>
          <w:rFonts w:ascii="Arial Narrow" w:hAnsi="Arial Narrow"/>
          <w:i/>
          <w:iCs/>
          <w:sz w:val="22"/>
          <w:szCs w:val="22"/>
          <w:lang w:eastAsia="fr-FR"/>
        </w:rPr>
        <w:t>avait initialement</w:t>
      </w:r>
      <w:r w:rsidRPr="00127BCD">
        <w:rPr>
          <w:rFonts w:ascii="Arial Narrow" w:hAnsi="Arial Narrow"/>
          <w:sz w:val="22"/>
          <w:szCs w:val="22"/>
          <w:lang w:eastAsia="fr-FR"/>
        </w:rPr>
        <w:t xml:space="preserve"> exigé, pour engager la responsabilité des organismes de sécurité sociale, que l'employeur ou l'assuré rapporte la preuve :</w:t>
      </w:r>
    </w:p>
    <w:p w14:paraId="52969D55" w14:textId="77777777" w:rsidR="00127BCD" w:rsidRPr="00127BCD" w:rsidRDefault="00127BCD" w:rsidP="00025BDA">
      <w:pPr>
        <w:numPr>
          <w:ilvl w:val="0"/>
          <w:numId w:val="26"/>
        </w:numPr>
        <w:spacing w:before="120"/>
        <w:rPr>
          <w:rFonts w:ascii="Arial Narrow" w:hAnsi="Arial Narrow"/>
          <w:sz w:val="22"/>
          <w:szCs w:val="22"/>
          <w:lang w:eastAsia="fr-FR"/>
        </w:rPr>
      </w:pPr>
      <w:r w:rsidRPr="00127BCD">
        <w:rPr>
          <w:rFonts w:ascii="Arial Narrow" w:hAnsi="Arial Narrow"/>
          <w:sz w:val="22"/>
          <w:szCs w:val="22"/>
          <w:lang w:eastAsia="fr-FR"/>
        </w:rPr>
        <w:t xml:space="preserve">— soit de la </w:t>
      </w:r>
      <w:r w:rsidRPr="00127BCD">
        <w:rPr>
          <w:rFonts w:ascii="Arial Narrow" w:hAnsi="Arial Narrow"/>
          <w:b/>
          <w:bCs/>
          <w:sz w:val="22"/>
          <w:szCs w:val="22"/>
          <w:lang w:eastAsia="fr-FR"/>
        </w:rPr>
        <w:t>gravité de la faute ou de l'erreur</w:t>
      </w:r>
      <w:r w:rsidRPr="00127BCD">
        <w:rPr>
          <w:rFonts w:ascii="Arial Narrow" w:hAnsi="Arial Narrow"/>
          <w:sz w:val="22"/>
          <w:szCs w:val="22"/>
          <w:lang w:eastAsia="fr-FR"/>
        </w:rPr>
        <w:t xml:space="preserve"> commise dans l'exécution du service public ;</w:t>
      </w:r>
    </w:p>
    <w:p w14:paraId="771EA0FD" w14:textId="77777777" w:rsidR="00127BCD" w:rsidRPr="00127BCD" w:rsidRDefault="00127BCD" w:rsidP="005734F2">
      <w:pPr>
        <w:numPr>
          <w:ilvl w:val="0"/>
          <w:numId w:val="26"/>
        </w:numPr>
        <w:spacing w:before="120"/>
        <w:rPr>
          <w:rFonts w:ascii="Arial Narrow" w:hAnsi="Arial Narrow"/>
          <w:sz w:val="22"/>
          <w:szCs w:val="22"/>
          <w:lang w:eastAsia="fr-FR"/>
        </w:rPr>
      </w:pPr>
      <w:r w:rsidRPr="00127BCD">
        <w:rPr>
          <w:rFonts w:ascii="Arial Narrow" w:hAnsi="Arial Narrow"/>
          <w:sz w:val="22"/>
          <w:szCs w:val="22"/>
          <w:lang w:eastAsia="fr-FR"/>
        </w:rPr>
        <w:t xml:space="preserve">— soit du </w:t>
      </w:r>
      <w:r w:rsidRPr="00127BCD">
        <w:rPr>
          <w:rFonts w:ascii="Arial Narrow" w:hAnsi="Arial Narrow"/>
          <w:b/>
          <w:bCs/>
          <w:sz w:val="22"/>
          <w:szCs w:val="22"/>
          <w:lang w:eastAsia="fr-FR"/>
        </w:rPr>
        <w:t>caractère anormal du préjudice causé</w:t>
      </w:r>
      <w:r w:rsidRPr="00127BCD">
        <w:rPr>
          <w:rFonts w:ascii="Arial Narrow" w:hAnsi="Arial Narrow"/>
          <w:sz w:val="22"/>
          <w:szCs w:val="22"/>
          <w:lang w:eastAsia="fr-FR"/>
        </w:rPr>
        <w:t xml:space="preserve"> (</w:t>
      </w:r>
      <w:hyperlink r:id="rId11" w:history="1">
        <w:r w:rsidRPr="00127BCD">
          <w:rPr>
            <w:rFonts w:ascii="Arial Narrow" w:hAnsi="Arial Narrow"/>
            <w:color w:val="0000FF"/>
            <w:sz w:val="22"/>
            <w:szCs w:val="22"/>
            <w:u w:val="single"/>
            <w:lang w:eastAsia="fr-FR"/>
          </w:rPr>
          <w:t>Cass. soc., 19 oct. 1983,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82-11.506</w:t>
        </w:r>
      </w:hyperlink>
      <w:r w:rsidRPr="00127BCD">
        <w:rPr>
          <w:rFonts w:ascii="Arial Narrow" w:hAnsi="Arial Narrow"/>
          <w:sz w:val="22"/>
          <w:szCs w:val="22"/>
          <w:lang w:eastAsia="fr-FR"/>
        </w:rPr>
        <w:t>, Bull. civ. V, p. 364).</w:t>
      </w:r>
    </w:p>
    <w:p w14:paraId="6D130551"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Il en résultait qu'une caisse de sécurité sociale ne pouvait être privée de son droit à répétition pour les sommes qu'elle avait indûment versées, en l'absence d'erreur grossière commise par celle-ci ou de préjudice anormal subi par l'assuré (</w:t>
      </w:r>
      <w:hyperlink r:id="rId12" w:history="1">
        <w:r w:rsidRPr="00127BCD">
          <w:rPr>
            <w:rFonts w:ascii="Arial Narrow" w:hAnsi="Arial Narrow"/>
            <w:color w:val="0000FF"/>
            <w:sz w:val="22"/>
            <w:szCs w:val="22"/>
            <w:u w:val="single"/>
            <w:lang w:eastAsia="fr-FR"/>
          </w:rPr>
          <w:t>Cass. soc., 6 févr. 1992,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90-13.393</w:t>
        </w:r>
      </w:hyperlink>
      <w:r w:rsidRPr="00127BCD">
        <w:rPr>
          <w:rFonts w:ascii="Arial Narrow" w:hAnsi="Arial Narrow"/>
          <w:sz w:val="22"/>
          <w:szCs w:val="22"/>
          <w:lang w:eastAsia="fr-FR"/>
        </w:rPr>
        <w:t>).</w:t>
      </w:r>
    </w:p>
    <w:p w14:paraId="0DBFD490"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En l'absence de faute grave, la responsabilité d'une caisse pouvait être mise en œuvre lorsque l'usager démontrait avoir subi un préjudice « </w:t>
      </w:r>
      <w:r w:rsidRPr="00127BCD">
        <w:rPr>
          <w:rFonts w:ascii="Arial Narrow" w:hAnsi="Arial Narrow"/>
          <w:i/>
          <w:iCs/>
          <w:sz w:val="22"/>
          <w:szCs w:val="22"/>
          <w:lang w:eastAsia="fr-FR"/>
        </w:rPr>
        <w:t>excédant les inconvénients normaux qui peuvent être engendrés par le fonctionnement d'un service public</w:t>
      </w:r>
      <w:r w:rsidRPr="00127BCD">
        <w:rPr>
          <w:rFonts w:ascii="Arial Narrow" w:hAnsi="Arial Narrow"/>
          <w:sz w:val="22"/>
          <w:szCs w:val="22"/>
          <w:lang w:eastAsia="fr-FR"/>
        </w:rPr>
        <w:t> ».</w:t>
      </w:r>
    </w:p>
    <w:p w14:paraId="134A4D97"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La Cour de cassation, se fondant sur l'article 1382 du Code civil, a donné une autre orientation à sa jurisprudence : elle estime que, dès lors qu'elle entraîne un préjudice pour l'employeur ou l'assuré, la faute commise par un organisme de sécurité sociale est de nature à engager sa responsabilité civile, peu important que cette faute soit grossière ou non et que le préjudice soit ou non anormal.</w:t>
      </w:r>
    </w:p>
    <w:p w14:paraId="248F52F4"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Il est cependant nécessaire que le tribunal vérifie que la remise de dette a pour objet d'indemniser le préjudice subi (</w:t>
      </w:r>
      <w:hyperlink r:id="rId13" w:history="1">
        <w:r w:rsidRPr="00127BCD">
          <w:rPr>
            <w:rFonts w:ascii="Arial Narrow" w:hAnsi="Arial Narrow"/>
            <w:color w:val="0000FF"/>
            <w:sz w:val="22"/>
            <w:szCs w:val="22"/>
            <w:u w:val="single"/>
            <w:lang w:eastAsia="fr-FR"/>
          </w:rPr>
          <w:t>Cass. soc., 14 déc. 2004,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03-30.617</w:t>
        </w:r>
      </w:hyperlink>
      <w:r w:rsidRPr="00127BCD">
        <w:rPr>
          <w:rFonts w:ascii="Arial Narrow" w:hAnsi="Arial Narrow"/>
          <w:sz w:val="22"/>
          <w:szCs w:val="22"/>
          <w:lang w:eastAsia="fr-FR"/>
        </w:rPr>
        <w:t>).</w:t>
      </w:r>
    </w:p>
    <w:p w14:paraId="296E1DDA" w14:textId="77777777" w:rsidR="00127BCD" w:rsidRPr="00172004"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 Sur les relations entre les organismes et les usagers, voir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65 et s.</w:t>
      </w:r>
    </w:p>
    <w:p w14:paraId="007C0B6B" w14:textId="77777777" w:rsidR="00A736C5" w:rsidRPr="00172004" w:rsidRDefault="00A736C5" w:rsidP="00127BCD">
      <w:pPr>
        <w:spacing w:before="120"/>
        <w:rPr>
          <w:rFonts w:ascii="Arial Narrow" w:hAnsi="Arial Narrow"/>
          <w:sz w:val="22"/>
          <w:szCs w:val="22"/>
          <w:lang w:eastAsia="fr-FR"/>
        </w:rPr>
      </w:pPr>
    </w:p>
    <w:p w14:paraId="31CEA578" w14:textId="77777777" w:rsidR="00A736C5" w:rsidRPr="00172004" w:rsidRDefault="00A736C5" w:rsidP="00127BCD">
      <w:pPr>
        <w:spacing w:before="120"/>
        <w:rPr>
          <w:rFonts w:ascii="Arial Narrow" w:hAnsi="Arial Narrow"/>
          <w:sz w:val="22"/>
          <w:szCs w:val="22"/>
          <w:lang w:eastAsia="fr-FR"/>
        </w:rPr>
      </w:pPr>
    </w:p>
    <w:p w14:paraId="5FAEBCC4" w14:textId="77777777" w:rsidR="00127BCD" w:rsidRPr="00172004" w:rsidRDefault="00127BCD" w:rsidP="00127BCD">
      <w:pPr>
        <w:pStyle w:val="Paragraphedeliste"/>
        <w:numPr>
          <w:ilvl w:val="0"/>
          <w:numId w:val="29"/>
        </w:numPr>
        <w:spacing w:before="120"/>
        <w:rPr>
          <w:rFonts w:ascii="Arial Narrow" w:hAnsi="Arial Narrow"/>
          <w:b/>
          <w:lang w:eastAsia="fr-FR"/>
        </w:rPr>
      </w:pPr>
      <w:r w:rsidRPr="00172004">
        <w:rPr>
          <w:rFonts w:ascii="Arial Narrow" w:hAnsi="Arial Narrow"/>
          <w:b/>
          <w:lang w:eastAsia="fr-FR"/>
        </w:rPr>
        <w:lastRenderedPageBreak/>
        <w:t>Application</w:t>
      </w:r>
    </w:p>
    <w:p w14:paraId="4D8C9E2E"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Commet une faute entraînant un préjudice pour l'assuré :</w:t>
      </w:r>
    </w:p>
    <w:p w14:paraId="269D2D52" w14:textId="77777777" w:rsidR="00127BCD" w:rsidRPr="00127BCD" w:rsidRDefault="00127BCD" w:rsidP="00384562">
      <w:pPr>
        <w:numPr>
          <w:ilvl w:val="0"/>
          <w:numId w:val="27"/>
        </w:numPr>
        <w:spacing w:before="120"/>
        <w:rPr>
          <w:rFonts w:ascii="Arial Narrow" w:hAnsi="Arial Narrow"/>
          <w:sz w:val="22"/>
          <w:szCs w:val="22"/>
          <w:lang w:eastAsia="fr-FR"/>
        </w:rPr>
      </w:pPr>
      <w:r w:rsidRPr="00127BCD">
        <w:rPr>
          <w:rFonts w:ascii="Arial Narrow" w:hAnsi="Arial Narrow"/>
          <w:sz w:val="22"/>
          <w:szCs w:val="22"/>
          <w:lang w:eastAsia="fr-FR"/>
        </w:rPr>
        <w:t>— une caisse informant un assuré qu'il pourrait bénéficier d'une pension complète à une date déterminée, sans réserve particulière et en ayant connaissance de tous les éléments nécessaires pour se prononcer sur ladite date, puis lui faisant savoir, après qu'il ait déposé un dossier de retraite et démissionné de son emploi, que la date devait être reportée de deux ans (</w:t>
      </w:r>
      <w:hyperlink r:id="rId14" w:history="1">
        <w:r w:rsidRPr="00127BCD">
          <w:rPr>
            <w:rFonts w:ascii="Arial Narrow" w:hAnsi="Arial Narrow"/>
            <w:color w:val="0000FF"/>
            <w:sz w:val="22"/>
            <w:szCs w:val="22"/>
            <w:u w:val="single"/>
            <w:lang w:eastAsia="fr-FR"/>
          </w:rPr>
          <w:t>Cass. soc., 12 juill. 1995,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93-12.196</w:t>
        </w:r>
      </w:hyperlink>
      <w:r w:rsidRPr="00127BCD">
        <w:rPr>
          <w:rFonts w:ascii="Arial Narrow" w:hAnsi="Arial Narrow"/>
          <w:sz w:val="22"/>
          <w:szCs w:val="22"/>
          <w:lang w:eastAsia="fr-FR"/>
        </w:rPr>
        <w:t>, Bull. civ. V, p. 176) ;</w:t>
      </w:r>
    </w:p>
    <w:p w14:paraId="76E057C3" w14:textId="77777777" w:rsidR="00127BCD" w:rsidRPr="00127BCD" w:rsidRDefault="00127BCD" w:rsidP="00D20F8C">
      <w:pPr>
        <w:numPr>
          <w:ilvl w:val="0"/>
          <w:numId w:val="27"/>
        </w:numPr>
        <w:spacing w:before="120"/>
        <w:rPr>
          <w:rFonts w:ascii="Arial Narrow" w:hAnsi="Arial Narrow"/>
          <w:sz w:val="22"/>
          <w:szCs w:val="22"/>
          <w:lang w:eastAsia="fr-FR"/>
        </w:rPr>
      </w:pPr>
      <w:r w:rsidRPr="00127BCD">
        <w:rPr>
          <w:rFonts w:ascii="Arial Narrow" w:hAnsi="Arial Narrow"/>
          <w:sz w:val="22"/>
          <w:szCs w:val="22"/>
          <w:lang w:eastAsia="fr-FR"/>
        </w:rPr>
        <w:t>— la caisse qui s'est abstenue pendant neuf ans de vérifier la situation personnelle d'une assurée bénéficiaire d'une pension indûment versée (</w:t>
      </w:r>
      <w:hyperlink r:id="rId15" w:history="1">
        <w:r w:rsidRPr="00127BCD">
          <w:rPr>
            <w:rFonts w:ascii="Arial Narrow" w:hAnsi="Arial Narrow"/>
            <w:color w:val="0000FF"/>
            <w:sz w:val="22"/>
            <w:szCs w:val="22"/>
            <w:u w:val="single"/>
            <w:lang w:eastAsia="fr-FR"/>
          </w:rPr>
          <w:t>Cass. soc., 6 juill. 2000,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98-19.545</w:t>
        </w:r>
      </w:hyperlink>
      <w:r w:rsidRPr="00127BCD">
        <w:rPr>
          <w:rFonts w:ascii="Arial Narrow" w:hAnsi="Arial Narrow"/>
          <w:sz w:val="22"/>
          <w:szCs w:val="22"/>
          <w:lang w:eastAsia="fr-FR"/>
        </w:rPr>
        <w:t>) ;</w:t>
      </w:r>
    </w:p>
    <w:p w14:paraId="1793BDCB" w14:textId="77777777" w:rsidR="00127BCD" w:rsidRPr="00127BCD" w:rsidRDefault="00127BCD" w:rsidP="00246856">
      <w:pPr>
        <w:numPr>
          <w:ilvl w:val="0"/>
          <w:numId w:val="27"/>
        </w:numPr>
        <w:spacing w:before="120"/>
        <w:rPr>
          <w:rFonts w:ascii="Arial Narrow" w:hAnsi="Arial Narrow"/>
          <w:sz w:val="22"/>
          <w:szCs w:val="22"/>
          <w:lang w:eastAsia="fr-FR"/>
        </w:rPr>
      </w:pPr>
      <w:r w:rsidRPr="00127BCD">
        <w:rPr>
          <w:rFonts w:ascii="Arial Narrow" w:hAnsi="Arial Narrow"/>
          <w:sz w:val="22"/>
          <w:szCs w:val="22"/>
          <w:lang w:eastAsia="fr-FR"/>
        </w:rPr>
        <w:t>— la caisse qui manque à ses obligations d'information en matière d'assurance vieillesse (CSS, art. L. 161-17), dont le respect aurait permis à l'assuré de faire utilement sa demande de pension (</w:t>
      </w:r>
      <w:hyperlink r:id="rId16" w:history="1">
        <w:r w:rsidRPr="00127BCD">
          <w:rPr>
            <w:rFonts w:ascii="Arial Narrow" w:hAnsi="Arial Narrow"/>
            <w:color w:val="0000FF"/>
            <w:sz w:val="22"/>
            <w:szCs w:val="22"/>
            <w:u w:val="single"/>
            <w:lang w:eastAsia="fr-FR"/>
          </w:rPr>
          <w:t>Cass. soc., 12 oct. 1995,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93-16.946</w:t>
        </w:r>
      </w:hyperlink>
      <w:r w:rsidRPr="00127BCD">
        <w:rPr>
          <w:rFonts w:ascii="Arial Narrow" w:hAnsi="Arial Narrow"/>
          <w:sz w:val="22"/>
          <w:szCs w:val="22"/>
          <w:lang w:eastAsia="fr-FR"/>
        </w:rPr>
        <w:t xml:space="preserve"> ; sur l'allocation de veuvage : </w:t>
      </w:r>
      <w:hyperlink r:id="rId17" w:history="1">
        <w:r w:rsidRPr="00127BCD">
          <w:rPr>
            <w:rFonts w:ascii="Arial Narrow" w:hAnsi="Arial Narrow"/>
            <w:color w:val="0000FF"/>
            <w:sz w:val="22"/>
            <w:szCs w:val="22"/>
            <w:u w:val="single"/>
            <w:lang w:eastAsia="fr-FR"/>
          </w:rPr>
          <w:t>Cass. soc., 19 juill. 2001,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00-11.699</w:t>
        </w:r>
      </w:hyperlink>
      <w:r w:rsidRPr="00127BCD">
        <w:rPr>
          <w:rFonts w:ascii="Arial Narrow" w:hAnsi="Arial Narrow"/>
          <w:sz w:val="22"/>
          <w:szCs w:val="22"/>
          <w:lang w:eastAsia="fr-FR"/>
        </w:rPr>
        <w:t>, Bull. civ. V,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281) ;</w:t>
      </w:r>
    </w:p>
    <w:p w14:paraId="19E4C23B" w14:textId="77777777" w:rsidR="00127BCD" w:rsidRPr="00127BCD" w:rsidRDefault="00127BCD" w:rsidP="002D5B61">
      <w:pPr>
        <w:numPr>
          <w:ilvl w:val="0"/>
          <w:numId w:val="27"/>
        </w:numPr>
        <w:spacing w:before="120"/>
        <w:rPr>
          <w:rFonts w:ascii="Arial Narrow" w:hAnsi="Arial Narrow"/>
          <w:sz w:val="22"/>
          <w:szCs w:val="22"/>
          <w:lang w:eastAsia="fr-FR"/>
        </w:rPr>
      </w:pPr>
      <w:r w:rsidRPr="00127BCD">
        <w:rPr>
          <w:rFonts w:ascii="Arial Narrow" w:hAnsi="Arial Narrow"/>
          <w:sz w:val="22"/>
          <w:szCs w:val="22"/>
          <w:lang w:eastAsia="fr-FR"/>
        </w:rPr>
        <w:t>— une caisse qui refuse de prendre en compte des périodes travaillées à l'étranger pour liquider la retraite à taux plein, obligeant l'assuré à racheter des cotisations ; la caisse ne pouvant réclamer ensuite le remboursement des pensions résultant du précédent calcul, la somme litigieuse constituant les dommages-intérêts dus à l'intéressé (</w:t>
      </w:r>
      <w:hyperlink r:id="rId18" w:history="1">
        <w:r w:rsidRPr="00127BCD">
          <w:rPr>
            <w:rFonts w:ascii="Arial Narrow" w:hAnsi="Arial Narrow"/>
            <w:color w:val="0000FF"/>
            <w:sz w:val="22"/>
            <w:szCs w:val="22"/>
            <w:u w:val="single"/>
            <w:lang w:eastAsia="fr-FR"/>
          </w:rPr>
          <w:t>Cass. 2</w:t>
        </w:r>
        <w:r w:rsidRPr="00127BCD">
          <w:rPr>
            <w:rFonts w:ascii="Arial Narrow" w:hAnsi="Arial Narrow"/>
            <w:color w:val="0000FF"/>
            <w:sz w:val="22"/>
            <w:szCs w:val="22"/>
            <w:u w:val="single"/>
            <w:vertAlign w:val="superscript"/>
            <w:lang w:eastAsia="fr-FR"/>
          </w:rPr>
          <w:t>e</w:t>
        </w:r>
        <w:r w:rsidRPr="00127BCD">
          <w:rPr>
            <w:rFonts w:ascii="Arial Narrow" w:hAnsi="Arial Narrow"/>
            <w:color w:val="0000FF"/>
            <w:sz w:val="22"/>
            <w:szCs w:val="22"/>
            <w:u w:val="single"/>
            <w:lang w:eastAsia="fr-FR"/>
          </w:rPr>
          <w:t> civ., 21 sept. 2004,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03-14.978</w:t>
        </w:r>
      </w:hyperlink>
      <w:r w:rsidRPr="00127BCD">
        <w:rPr>
          <w:rFonts w:ascii="Arial Narrow" w:hAnsi="Arial Narrow"/>
          <w:sz w:val="22"/>
          <w:szCs w:val="22"/>
          <w:lang w:eastAsia="fr-FR"/>
        </w:rPr>
        <w:t>).</w:t>
      </w:r>
    </w:p>
    <w:p w14:paraId="77FC0EB9"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 xml:space="preserve">— Sur </w:t>
      </w:r>
      <w:r w:rsidRPr="00127BCD">
        <w:rPr>
          <w:rFonts w:ascii="Arial Narrow" w:hAnsi="Arial Narrow"/>
          <w:b/>
          <w:bCs/>
          <w:sz w:val="22"/>
          <w:szCs w:val="22"/>
          <w:lang w:eastAsia="fr-FR"/>
        </w:rPr>
        <w:t>l'obligation d'informer l'assuré en matière d'assurance vieillesse,</w:t>
      </w:r>
      <w:r w:rsidRPr="00127BCD">
        <w:rPr>
          <w:rFonts w:ascii="Arial Narrow" w:hAnsi="Arial Narrow"/>
          <w:sz w:val="22"/>
          <w:szCs w:val="22"/>
          <w:lang w:eastAsia="fr-FR"/>
        </w:rPr>
        <w:t xml:space="preserve"> voir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1843.</w:t>
      </w:r>
    </w:p>
    <w:p w14:paraId="1BCDBF61"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Sont également constitutifs d'une faute entraînant un dommage pour l'assuré :</w:t>
      </w:r>
    </w:p>
    <w:p w14:paraId="3F339C91" w14:textId="77777777" w:rsidR="00127BCD" w:rsidRPr="00127BCD" w:rsidRDefault="00127BCD" w:rsidP="001204CD">
      <w:pPr>
        <w:numPr>
          <w:ilvl w:val="0"/>
          <w:numId w:val="28"/>
        </w:numPr>
        <w:spacing w:before="120"/>
        <w:rPr>
          <w:rFonts w:ascii="Arial Narrow" w:hAnsi="Arial Narrow"/>
          <w:sz w:val="22"/>
          <w:szCs w:val="22"/>
          <w:lang w:eastAsia="fr-FR"/>
        </w:rPr>
      </w:pPr>
      <w:r w:rsidRPr="00127BCD">
        <w:rPr>
          <w:rFonts w:ascii="Arial Narrow" w:hAnsi="Arial Narrow"/>
          <w:sz w:val="22"/>
          <w:szCs w:val="22"/>
          <w:lang w:eastAsia="fr-FR"/>
        </w:rPr>
        <w:t>— les dysfonctionnements d'une caisse mettant ce dernier dans l'incapacité matérielle de présenter sa demande pour bénéficier d'une aide à laquelle il avait droit (</w:t>
      </w:r>
      <w:hyperlink r:id="rId19" w:history="1">
        <w:r w:rsidRPr="00127BCD">
          <w:rPr>
            <w:rFonts w:ascii="Arial Narrow" w:hAnsi="Arial Narrow"/>
            <w:color w:val="0000FF"/>
            <w:sz w:val="22"/>
            <w:szCs w:val="22"/>
            <w:u w:val="single"/>
            <w:lang w:eastAsia="fr-FR"/>
          </w:rPr>
          <w:t>Cass. soc., 12 oct. 1995,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93-18.365</w:t>
        </w:r>
      </w:hyperlink>
      <w:r w:rsidRPr="00127BCD">
        <w:rPr>
          <w:rFonts w:ascii="Arial Narrow" w:hAnsi="Arial Narrow"/>
          <w:sz w:val="22"/>
          <w:szCs w:val="22"/>
          <w:lang w:eastAsia="fr-FR"/>
        </w:rPr>
        <w:t>, Bull. civ. V, p. 195) ;</w:t>
      </w:r>
    </w:p>
    <w:p w14:paraId="3A0A4696" w14:textId="77777777" w:rsidR="00127BCD" w:rsidRPr="00127BCD" w:rsidRDefault="00127BCD" w:rsidP="00704483">
      <w:pPr>
        <w:numPr>
          <w:ilvl w:val="0"/>
          <w:numId w:val="28"/>
        </w:numPr>
        <w:spacing w:before="120"/>
        <w:rPr>
          <w:rFonts w:ascii="Arial Narrow" w:hAnsi="Arial Narrow"/>
          <w:sz w:val="22"/>
          <w:szCs w:val="22"/>
          <w:lang w:eastAsia="fr-FR"/>
        </w:rPr>
      </w:pPr>
      <w:r w:rsidRPr="00127BCD">
        <w:rPr>
          <w:rFonts w:ascii="Arial Narrow" w:hAnsi="Arial Narrow"/>
          <w:sz w:val="22"/>
          <w:szCs w:val="22"/>
          <w:lang w:eastAsia="fr-FR"/>
        </w:rPr>
        <w:t>— le fait pour un organisme de sécurité sociale de verser indûment des prestations dont il demande le remboursement (</w:t>
      </w:r>
      <w:hyperlink r:id="rId20" w:history="1">
        <w:r w:rsidRPr="00127BCD">
          <w:rPr>
            <w:rFonts w:ascii="Arial Narrow" w:hAnsi="Arial Narrow"/>
            <w:color w:val="0000FF"/>
            <w:sz w:val="22"/>
            <w:szCs w:val="22"/>
            <w:u w:val="single"/>
            <w:lang w:eastAsia="fr-FR"/>
          </w:rPr>
          <w:t>Cass. soc., 6 juin 1996,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94-12.940</w:t>
        </w:r>
      </w:hyperlink>
      <w:r w:rsidRPr="00127BCD">
        <w:rPr>
          <w:rFonts w:ascii="Arial Narrow" w:hAnsi="Arial Narrow"/>
          <w:sz w:val="22"/>
          <w:szCs w:val="22"/>
          <w:lang w:eastAsia="fr-FR"/>
        </w:rPr>
        <w:t xml:space="preserve"> ; </w:t>
      </w:r>
      <w:hyperlink r:id="rId21" w:history="1">
        <w:r w:rsidRPr="00127BCD">
          <w:rPr>
            <w:rFonts w:ascii="Arial Narrow" w:hAnsi="Arial Narrow"/>
            <w:color w:val="0000FF"/>
            <w:sz w:val="22"/>
            <w:szCs w:val="22"/>
            <w:u w:val="single"/>
            <w:lang w:eastAsia="fr-FR"/>
          </w:rPr>
          <w:t>Cass. soc., 17 oct. 1996,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94-18.537</w:t>
        </w:r>
      </w:hyperlink>
      <w:r w:rsidRPr="00127BCD">
        <w:rPr>
          <w:rFonts w:ascii="Arial Narrow" w:hAnsi="Arial Narrow"/>
          <w:sz w:val="22"/>
          <w:szCs w:val="22"/>
          <w:lang w:eastAsia="fr-FR"/>
        </w:rPr>
        <w:t>, Bull. civ. V,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328 ; </w:t>
      </w:r>
      <w:hyperlink r:id="rId22" w:history="1">
        <w:r w:rsidRPr="00127BCD">
          <w:rPr>
            <w:rFonts w:ascii="Arial Narrow" w:hAnsi="Arial Narrow"/>
            <w:color w:val="0000FF"/>
            <w:sz w:val="22"/>
            <w:szCs w:val="22"/>
            <w:u w:val="single"/>
            <w:lang w:eastAsia="fr-FR"/>
          </w:rPr>
          <w:t>Cass. soc., 30 nov. 2000,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99-14.299</w:t>
        </w:r>
      </w:hyperlink>
      <w:r w:rsidRPr="00127BCD">
        <w:rPr>
          <w:rFonts w:ascii="Arial Narrow" w:hAnsi="Arial Narrow"/>
          <w:sz w:val="22"/>
          <w:szCs w:val="22"/>
          <w:lang w:eastAsia="fr-FR"/>
        </w:rPr>
        <w:t>).</w:t>
      </w:r>
      <w:r w:rsidRPr="00127BCD">
        <w:rPr>
          <w:rFonts w:ascii="Arial Narrow" w:hAnsi="Arial Narrow"/>
          <w:sz w:val="22"/>
          <w:szCs w:val="22"/>
          <w:lang w:eastAsia="fr-FR"/>
        </w:rPr>
        <w:br/>
        <w:t>La demande reconventionnelle de dommages-intérêts faite par l'assuré dans le cadre d'une action en restitution d'un trop-perçu peut priver l'organisme partiellement ou totalement de son droit à répétition, du fait de la compensation opérée entre la créance dudit organisme et les dommages-intérêts octroyés (</w:t>
      </w:r>
      <w:hyperlink r:id="rId23" w:history="1">
        <w:r w:rsidRPr="00127BCD">
          <w:rPr>
            <w:rFonts w:ascii="Arial Narrow" w:hAnsi="Arial Narrow"/>
            <w:color w:val="0000FF"/>
            <w:sz w:val="22"/>
            <w:szCs w:val="22"/>
            <w:u w:val="single"/>
            <w:lang w:eastAsia="fr-FR"/>
          </w:rPr>
          <w:t>Cass. soc., 31 mai 2001,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99-20.912</w:t>
        </w:r>
      </w:hyperlink>
      <w:r w:rsidRPr="00127BCD">
        <w:rPr>
          <w:rFonts w:ascii="Arial Narrow" w:hAnsi="Arial Narrow"/>
          <w:sz w:val="22"/>
          <w:szCs w:val="22"/>
          <w:lang w:eastAsia="fr-FR"/>
        </w:rPr>
        <w:t>, Bull. civ. V,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200, p. 156 ; </w:t>
      </w:r>
      <w:hyperlink r:id="rId24" w:history="1">
        <w:r w:rsidRPr="00127BCD">
          <w:rPr>
            <w:rFonts w:ascii="Arial Narrow" w:hAnsi="Arial Narrow"/>
            <w:color w:val="0000FF"/>
            <w:sz w:val="22"/>
            <w:szCs w:val="22"/>
            <w:u w:val="single"/>
            <w:lang w:eastAsia="fr-FR"/>
          </w:rPr>
          <w:t>Cass. soc., 13 déc. 2001,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00-15.100</w:t>
        </w:r>
      </w:hyperlink>
      <w:r w:rsidRPr="00127BCD">
        <w:rPr>
          <w:rFonts w:ascii="Arial Narrow" w:hAnsi="Arial Narrow"/>
          <w:sz w:val="22"/>
          <w:szCs w:val="22"/>
          <w:lang w:eastAsia="fr-FR"/>
        </w:rPr>
        <w:t>) ;</w:t>
      </w:r>
    </w:p>
    <w:p w14:paraId="3742AF27" w14:textId="77777777" w:rsidR="00127BCD" w:rsidRPr="00127BCD" w:rsidRDefault="00127BCD" w:rsidP="00D56A3B">
      <w:pPr>
        <w:numPr>
          <w:ilvl w:val="0"/>
          <w:numId w:val="28"/>
        </w:numPr>
        <w:spacing w:before="120"/>
        <w:rPr>
          <w:rFonts w:ascii="Arial Narrow" w:hAnsi="Arial Narrow"/>
          <w:sz w:val="22"/>
          <w:szCs w:val="22"/>
          <w:lang w:eastAsia="fr-FR"/>
        </w:rPr>
      </w:pPr>
      <w:r w:rsidRPr="00127BCD">
        <w:rPr>
          <w:rFonts w:ascii="Arial Narrow" w:hAnsi="Arial Narrow"/>
          <w:sz w:val="22"/>
          <w:szCs w:val="22"/>
          <w:lang w:eastAsia="fr-FR"/>
        </w:rPr>
        <w:t>— la réponse tardive (plus de trois mois) d'une caisse à une question formulée par un assuré et ayant des conséquences financières pour ce dernier (</w:t>
      </w:r>
      <w:hyperlink r:id="rId25" w:history="1">
        <w:r w:rsidRPr="00127BCD">
          <w:rPr>
            <w:rFonts w:ascii="Arial Narrow" w:hAnsi="Arial Narrow"/>
            <w:color w:val="0000FF"/>
            <w:sz w:val="22"/>
            <w:szCs w:val="22"/>
            <w:u w:val="single"/>
            <w:lang w:eastAsia="fr-FR"/>
          </w:rPr>
          <w:t>Cass. soc., 26 oct. 1995,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93-14.181</w:t>
        </w:r>
      </w:hyperlink>
      <w:r w:rsidRPr="00127BCD">
        <w:rPr>
          <w:rFonts w:ascii="Arial Narrow" w:hAnsi="Arial Narrow"/>
          <w:sz w:val="22"/>
          <w:szCs w:val="22"/>
          <w:lang w:eastAsia="fr-FR"/>
        </w:rPr>
        <w:t xml:space="preserve"> ; </w:t>
      </w:r>
      <w:hyperlink r:id="rId26" w:history="1">
        <w:r w:rsidRPr="00127BCD">
          <w:rPr>
            <w:rFonts w:ascii="Arial Narrow" w:hAnsi="Arial Narrow"/>
            <w:color w:val="0000FF"/>
            <w:sz w:val="22"/>
            <w:szCs w:val="22"/>
            <w:u w:val="single"/>
            <w:lang w:eastAsia="fr-FR"/>
          </w:rPr>
          <w:t>Cass. soc., 22 mai 1997,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95-20.582</w:t>
        </w:r>
      </w:hyperlink>
      <w:r w:rsidRPr="00127BCD">
        <w:rPr>
          <w:rFonts w:ascii="Arial Narrow" w:hAnsi="Arial Narrow"/>
          <w:sz w:val="22"/>
          <w:szCs w:val="22"/>
          <w:lang w:eastAsia="fr-FR"/>
        </w:rPr>
        <w:t>). De même, lorsque la caisse d'allocations familiales a commis une faute entraînant un dommage pour l'allocataire qui n'a pu percevoir plus tôt les allocations auxquelles il aurait pu prétendre (</w:t>
      </w:r>
      <w:hyperlink r:id="rId27" w:history="1">
        <w:r w:rsidRPr="00127BCD">
          <w:rPr>
            <w:rFonts w:ascii="Arial Narrow" w:hAnsi="Arial Narrow"/>
            <w:color w:val="0000FF"/>
            <w:sz w:val="22"/>
            <w:szCs w:val="22"/>
            <w:u w:val="single"/>
            <w:lang w:eastAsia="fr-FR"/>
          </w:rPr>
          <w:t>Cass. soc., 17 mai 2001,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99-21.650</w:t>
        </w:r>
      </w:hyperlink>
      <w:r w:rsidRPr="00127BCD">
        <w:rPr>
          <w:rFonts w:ascii="Arial Narrow" w:hAnsi="Arial Narrow"/>
          <w:sz w:val="22"/>
          <w:szCs w:val="22"/>
          <w:lang w:eastAsia="fr-FR"/>
        </w:rPr>
        <w:t>).</w:t>
      </w:r>
    </w:p>
    <w:p w14:paraId="144629A9"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Toutefois, un assuré ne peut se voir accorder des dommages-intérêts réduisant la créance de la CPAM sans que les juges du fond aient caractérisé en quoi le comportement de la caisse était fautif. En effet, celle-ci avait eu connaissance le cinq du mois d'une décision du tribunal du contentieux de l'incapacité faisant droit à la demande de pension d'invalidité de l'intéressé, et l'avait informé le 16 du même mois que les indemnités journalières, n'étant pas cumulables avec la pension d'invalidité, l'assuré devait les rembourser (</w:t>
      </w:r>
      <w:hyperlink r:id="rId28" w:history="1">
        <w:r w:rsidRPr="00127BCD">
          <w:rPr>
            <w:rFonts w:ascii="Arial Narrow" w:hAnsi="Arial Narrow"/>
            <w:color w:val="0000FF"/>
            <w:sz w:val="22"/>
            <w:szCs w:val="22"/>
            <w:u w:val="single"/>
            <w:lang w:eastAsia="fr-FR"/>
          </w:rPr>
          <w:t>Cass. soc., 5 déc. 2002,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01-20.928</w:t>
        </w:r>
      </w:hyperlink>
      <w:r w:rsidRPr="00127BCD">
        <w:rPr>
          <w:rFonts w:ascii="Arial Narrow" w:hAnsi="Arial Narrow"/>
          <w:sz w:val="22"/>
          <w:szCs w:val="22"/>
          <w:lang w:eastAsia="fr-FR"/>
        </w:rPr>
        <w:t>).</w:t>
      </w:r>
    </w:p>
    <w:p w14:paraId="62B8FE9A"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À noter que, même en l'absence de disposition légale ou réglementaire expresse, pèse sur l'ensemble des organismes de sécurité sociale une obligation générale d'information que la jurisprudence contribue à intensifier, retenant bien souvent le devoir qu'ont les organismes de sécurité sociale de prendre toutes mesures utiles afin d'assurer l'information générale de leurs usagers (</w:t>
      </w:r>
      <w:hyperlink r:id="rId29" w:history="1">
        <w:r w:rsidRPr="00127BCD">
          <w:rPr>
            <w:rFonts w:ascii="Arial Narrow" w:hAnsi="Arial Narrow"/>
            <w:color w:val="0000FF"/>
            <w:sz w:val="22"/>
            <w:szCs w:val="22"/>
            <w:u w:val="single"/>
            <w:lang w:eastAsia="fr-FR"/>
          </w:rPr>
          <w:t>Cass. soc., 31 mai 2001,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99-20.912</w:t>
        </w:r>
      </w:hyperlink>
      <w:r w:rsidRPr="00127BCD">
        <w:rPr>
          <w:rFonts w:ascii="Arial Narrow" w:hAnsi="Arial Narrow"/>
          <w:sz w:val="22"/>
          <w:szCs w:val="22"/>
          <w:lang w:eastAsia="fr-FR"/>
        </w:rPr>
        <w:t>, Bull. civ. V,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200 ; voir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xml:space="preserve"> 64).</w:t>
      </w:r>
    </w:p>
    <w:p w14:paraId="6E0C3B59"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lastRenderedPageBreak/>
        <w:t>Cependant, le devoir d'information découlant de l'article R. 112-2 du Code de la sécurité sociale ne fait pas peser sur les unions de recouvrement l'obligation d'aviser individuellement tous les employeurs susceptibles de remplir les conditions d'obtention d'un allégement de cotisations sociales (</w:t>
      </w:r>
      <w:hyperlink r:id="rId30" w:history="1">
        <w:r w:rsidRPr="00127BCD">
          <w:rPr>
            <w:rFonts w:ascii="Arial Narrow" w:hAnsi="Arial Narrow"/>
            <w:color w:val="0000FF"/>
            <w:sz w:val="22"/>
            <w:szCs w:val="22"/>
            <w:u w:val="single"/>
            <w:lang w:eastAsia="fr-FR"/>
          </w:rPr>
          <w:t>Cass. 2</w:t>
        </w:r>
        <w:r w:rsidRPr="00127BCD">
          <w:rPr>
            <w:rFonts w:ascii="Arial Narrow" w:hAnsi="Arial Narrow"/>
            <w:color w:val="0000FF"/>
            <w:sz w:val="22"/>
            <w:szCs w:val="22"/>
            <w:u w:val="single"/>
            <w:vertAlign w:val="superscript"/>
            <w:lang w:eastAsia="fr-FR"/>
          </w:rPr>
          <w:t>e</w:t>
        </w:r>
        <w:r w:rsidRPr="00127BCD">
          <w:rPr>
            <w:rFonts w:ascii="Arial Narrow" w:hAnsi="Arial Narrow"/>
            <w:color w:val="0000FF"/>
            <w:sz w:val="22"/>
            <w:szCs w:val="22"/>
            <w:u w:val="single"/>
            <w:lang w:eastAsia="fr-FR"/>
          </w:rPr>
          <w:t> civ., 11 oct. 2006,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05-11.768</w:t>
        </w:r>
      </w:hyperlink>
      <w:r w:rsidRPr="00127BCD">
        <w:rPr>
          <w:rFonts w:ascii="Arial Narrow" w:hAnsi="Arial Narrow"/>
          <w:sz w:val="22"/>
          <w:szCs w:val="22"/>
          <w:lang w:eastAsia="fr-FR"/>
        </w:rPr>
        <w:t>).</w:t>
      </w:r>
    </w:p>
    <w:p w14:paraId="664DCAA1"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De plus, si la preuve de la gravité de la faute ou de l'erreur commise par l'organisme, ou celle du caractère anormal du préjudice n'a plus à être rapportée par le cotisant ou l'assuré, la mise en jeu de la responsabilité de l'organisme obéit toujours aux conditions prévues par l'article 1382 du Code civil.</w:t>
      </w:r>
    </w:p>
    <w:p w14:paraId="516361B9"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 xml:space="preserve">Il appartient donc au cotisant ou à l'assuré social </w:t>
      </w:r>
      <w:r w:rsidRPr="00127BCD">
        <w:rPr>
          <w:rFonts w:ascii="Arial Narrow" w:hAnsi="Arial Narrow"/>
          <w:b/>
          <w:bCs/>
          <w:sz w:val="22"/>
          <w:szCs w:val="22"/>
          <w:lang w:eastAsia="fr-FR"/>
        </w:rPr>
        <w:t>d'établir le lien de causalité entre la faute ou l'erreur commise par l'organisme et le préjudice causé</w:t>
      </w:r>
      <w:r w:rsidRPr="00127BCD">
        <w:rPr>
          <w:rFonts w:ascii="Arial Narrow" w:hAnsi="Arial Narrow"/>
          <w:sz w:val="22"/>
          <w:szCs w:val="22"/>
          <w:lang w:eastAsia="fr-FR"/>
        </w:rPr>
        <w:t>.</w:t>
      </w:r>
    </w:p>
    <w:p w14:paraId="6CA8CAE0"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En l'absence de lien de causalité entre la faute et le préjudice allégué, l'assuré ne peut prétendre au versement de dommages-intérêts. En conséquence, si l'existence d'une mention erronée excluant tout recours pour l'assuré sur la notification d'une décision constitue une faute pour l'organisme, elle n'est pas constitutive d'un préjudice, dès lors qu'il résulte de la chronologie des décisions de la caisse et des recours de l'assuré que ce dernier n'a laissé expirer aucun délai (</w:t>
      </w:r>
      <w:hyperlink r:id="rId31" w:history="1">
        <w:r w:rsidRPr="00127BCD">
          <w:rPr>
            <w:rFonts w:ascii="Arial Narrow" w:hAnsi="Arial Narrow"/>
            <w:color w:val="0000FF"/>
            <w:sz w:val="22"/>
            <w:szCs w:val="22"/>
            <w:u w:val="single"/>
            <w:lang w:eastAsia="fr-FR"/>
          </w:rPr>
          <w:t>Cass. soc., 30 avr. 1997,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95-17.346</w:t>
        </w:r>
      </w:hyperlink>
      <w:r w:rsidRPr="00127BCD">
        <w:rPr>
          <w:rFonts w:ascii="Arial Narrow" w:hAnsi="Arial Narrow"/>
          <w:sz w:val="22"/>
          <w:szCs w:val="22"/>
          <w:lang w:eastAsia="fr-FR"/>
        </w:rPr>
        <w:t>).</w:t>
      </w:r>
    </w:p>
    <w:p w14:paraId="227BD6F5"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De même, une divergence d'interprétation des textes, sanctionnée par la jurisprudence en faveur du cotisant, ne peut donner lieu à dommages-intérêts pour celui-ci (</w:t>
      </w:r>
      <w:hyperlink r:id="rId32" w:history="1">
        <w:r w:rsidRPr="00127BCD">
          <w:rPr>
            <w:rFonts w:ascii="Arial Narrow" w:hAnsi="Arial Narrow"/>
            <w:color w:val="0000FF"/>
            <w:sz w:val="22"/>
            <w:szCs w:val="22"/>
            <w:u w:val="single"/>
            <w:lang w:eastAsia="fr-FR"/>
          </w:rPr>
          <w:t>Cass. 2</w:t>
        </w:r>
        <w:r w:rsidRPr="00127BCD">
          <w:rPr>
            <w:rFonts w:ascii="Arial Narrow" w:hAnsi="Arial Narrow"/>
            <w:color w:val="0000FF"/>
            <w:sz w:val="22"/>
            <w:szCs w:val="22"/>
            <w:u w:val="single"/>
            <w:vertAlign w:val="superscript"/>
            <w:lang w:eastAsia="fr-FR"/>
          </w:rPr>
          <w:t>e</w:t>
        </w:r>
        <w:r w:rsidRPr="00127BCD">
          <w:rPr>
            <w:rFonts w:ascii="Arial Narrow" w:hAnsi="Arial Narrow"/>
            <w:color w:val="0000FF"/>
            <w:sz w:val="22"/>
            <w:szCs w:val="22"/>
            <w:u w:val="single"/>
            <w:lang w:eastAsia="fr-FR"/>
          </w:rPr>
          <w:t> civ., 20 déc. 2007,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06-17.889</w:t>
        </w:r>
      </w:hyperlink>
      <w:r w:rsidRPr="00127BCD">
        <w:rPr>
          <w:rFonts w:ascii="Arial Narrow" w:hAnsi="Arial Narrow"/>
          <w:sz w:val="22"/>
          <w:szCs w:val="22"/>
          <w:lang w:eastAsia="fr-FR"/>
        </w:rPr>
        <w:t>).</w:t>
      </w:r>
    </w:p>
    <w:p w14:paraId="03F237EB"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À noter que la chambre sociale a rappelé que la responsabilité civile d'un organisme de Sécurité sociale ne saurait excéder le montant du préjudice subi (</w:t>
      </w:r>
      <w:hyperlink r:id="rId33" w:history="1">
        <w:r w:rsidRPr="00127BCD">
          <w:rPr>
            <w:rFonts w:ascii="Arial Narrow" w:hAnsi="Arial Narrow"/>
            <w:color w:val="0000FF"/>
            <w:sz w:val="22"/>
            <w:szCs w:val="22"/>
            <w:u w:val="single"/>
            <w:lang w:eastAsia="fr-FR"/>
          </w:rPr>
          <w:t>Cass. soc., 14 déc. 2000,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98-17.344</w:t>
        </w:r>
      </w:hyperlink>
      <w:r w:rsidRPr="00127BCD">
        <w:rPr>
          <w:rFonts w:ascii="Arial Narrow" w:hAnsi="Arial Narrow"/>
          <w:sz w:val="22"/>
          <w:szCs w:val="22"/>
          <w:lang w:eastAsia="fr-FR"/>
        </w:rPr>
        <w:t>).</w:t>
      </w:r>
    </w:p>
    <w:p w14:paraId="7E57EDB6"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Même à titre de sanction d'un défaut d'information, l'entrée en jouissance de la pension de réversion ne peut être fixée à une date antérieure à celle du premier jour du mois suivant la date de réception de la demande (</w:t>
      </w:r>
      <w:hyperlink r:id="rId34" w:history="1">
        <w:r w:rsidRPr="00127BCD">
          <w:rPr>
            <w:rFonts w:ascii="Arial Narrow" w:hAnsi="Arial Narrow"/>
            <w:color w:val="0000FF"/>
            <w:sz w:val="22"/>
            <w:szCs w:val="22"/>
            <w:u w:val="single"/>
            <w:lang w:eastAsia="fr-FR"/>
          </w:rPr>
          <w:t>Cass. 2</w:t>
        </w:r>
        <w:r w:rsidRPr="00127BCD">
          <w:rPr>
            <w:rFonts w:ascii="Arial Narrow" w:hAnsi="Arial Narrow"/>
            <w:color w:val="0000FF"/>
            <w:sz w:val="22"/>
            <w:szCs w:val="22"/>
            <w:u w:val="single"/>
            <w:vertAlign w:val="superscript"/>
            <w:lang w:eastAsia="fr-FR"/>
          </w:rPr>
          <w:t>e</w:t>
        </w:r>
        <w:r w:rsidRPr="00127BCD">
          <w:rPr>
            <w:rFonts w:ascii="Arial Narrow" w:hAnsi="Arial Narrow"/>
            <w:color w:val="0000FF"/>
            <w:sz w:val="22"/>
            <w:szCs w:val="22"/>
            <w:u w:val="single"/>
            <w:lang w:eastAsia="fr-FR"/>
          </w:rPr>
          <w:t> civ., 4 févr. 2010,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09-65.079</w:t>
        </w:r>
      </w:hyperlink>
      <w:r w:rsidRPr="00127BCD">
        <w:rPr>
          <w:rFonts w:ascii="Arial Narrow" w:hAnsi="Arial Narrow"/>
          <w:sz w:val="22"/>
          <w:szCs w:val="22"/>
          <w:lang w:eastAsia="fr-FR"/>
        </w:rPr>
        <w:t>).</w:t>
      </w:r>
    </w:p>
    <w:p w14:paraId="0E4759EE" w14:textId="77777777" w:rsidR="00127BCD" w:rsidRPr="00127BCD" w:rsidRDefault="00127BCD" w:rsidP="00127BCD">
      <w:pPr>
        <w:spacing w:before="120"/>
        <w:rPr>
          <w:rFonts w:ascii="Arial Narrow" w:hAnsi="Arial Narrow"/>
          <w:b/>
          <w:sz w:val="22"/>
          <w:szCs w:val="22"/>
          <w:lang w:eastAsia="fr-FR"/>
        </w:rPr>
      </w:pPr>
      <w:r w:rsidRPr="00127BCD">
        <w:rPr>
          <w:rFonts w:ascii="Arial Narrow" w:hAnsi="Arial Narrow"/>
          <w:b/>
          <w:sz w:val="22"/>
          <w:szCs w:val="22"/>
          <w:lang w:eastAsia="fr-FR"/>
        </w:rPr>
        <w:t>Mise à jour par lettre d'actualités n</w:t>
      </w:r>
      <w:r w:rsidRPr="00127BCD">
        <w:rPr>
          <w:rFonts w:ascii="Arial Narrow" w:hAnsi="Arial Narrow"/>
          <w:b/>
          <w:sz w:val="22"/>
          <w:szCs w:val="22"/>
          <w:vertAlign w:val="superscript"/>
          <w:lang w:eastAsia="fr-FR"/>
        </w:rPr>
        <w:t>o</w:t>
      </w:r>
      <w:r w:rsidRPr="00127BCD">
        <w:rPr>
          <w:rFonts w:ascii="Arial Narrow" w:hAnsi="Arial Narrow"/>
          <w:b/>
          <w:sz w:val="22"/>
          <w:szCs w:val="22"/>
          <w:lang w:eastAsia="fr-FR"/>
        </w:rPr>
        <w:t> 291, Janvier 2014</w:t>
      </w:r>
    </w:p>
    <w:p w14:paraId="6251A7D8" w14:textId="77777777" w:rsidR="00127BCD" w:rsidRPr="00127BCD" w:rsidRDefault="00497AA8" w:rsidP="00127BCD">
      <w:pPr>
        <w:spacing w:before="120"/>
        <w:rPr>
          <w:rFonts w:ascii="Arial Narrow" w:hAnsi="Arial Narrow"/>
          <w:sz w:val="22"/>
          <w:szCs w:val="22"/>
          <w:lang w:eastAsia="fr-FR"/>
        </w:rPr>
      </w:pPr>
      <w:hyperlink r:id="rId35" w:history="1">
        <w:r w:rsidR="00127BCD" w:rsidRPr="00127BCD">
          <w:rPr>
            <w:rFonts w:ascii="Arial Narrow" w:hAnsi="Arial Narrow"/>
            <w:color w:val="0000FF"/>
            <w:sz w:val="22"/>
            <w:szCs w:val="22"/>
            <w:u w:val="single"/>
            <w:lang w:eastAsia="fr-FR"/>
          </w:rPr>
          <w:t>Cass. 2</w:t>
        </w:r>
        <w:r w:rsidR="00127BCD" w:rsidRPr="00127BCD">
          <w:rPr>
            <w:rFonts w:ascii="Arial Narrow" w:hAnsi="Arial Narrow"/>
            <w:color w:val="0000FF"/>
            <w:sz w:val="22"/>
            <w:szCs w:val="22"/>
            <w:u w:val="single"/>
            <w:vertAlign w:val="superscript"/>
            <w:lang w:eastAsia="fr-FR"/>
          </w:rPr>
          <w:t>e</w:t>
        </w:r>
        <w:r w:rsidR="00127BCD" w:rsidRPr="00127BCD">
          <w:rPr>
            <w:rFonts w:ascii="Arial Narrow" w:hAnsi="Arial Narrow"/>
            <w:color w:val="0000FF"/>
            <w:sz w:val="22"/>
            <w:szCs w:val="22"/>
            <w:u w:val="single"/>
            <w:lang w:eastAsia="fr-FR"/>
          </w:rPr>
          <w:t> civ., 28 nov. 2013, n</w:t>
        </w:r>
        <w:r w:rsidR="00127BCD" w:rsidRPr="00127BCD">
          <w:rPr>
            <w:rFonts w:ascii="Arial Narrow" w:hAnsi="Arial Narrow"/>
            <w:color w:val="0000FF"/>
            <w:sz w:val="22"/>
            <w:szCs w:val="22"/>
            <w:u w:val="single"/>
            <w:vertAlign w:val="superscript"/>
            <w:lang w:eastAsia="fr-FR"/>
          </w:rPr>
          <w:t>o</w:t>
        </w:r>
        <w:r w:rsidR="00127BCD" w:rsidRPr="00127BCD">
          <w:rPr>
            <w:rFonts w:ascii="Arial Narrow" w:hAnsi="Arial Narrow"/>
            <w:color w:val="0000FF"/>
            <w:sz w:val="22"/>
            <w:szCs w:val="22"/>
            <w:u w:val="single"/>
            <w:lang w:eastAsia="fr-FR"/>
          </w:rPr>
          <w:t> 12-24.210</w:t>
        </w:r>
      </w:hyperlink>
      <w:r w:rsidR="00127BCD" w:rsidRPr="00127BCD">
        <w:rPr>
          <w:rFonts w:ascii="Arial Narrow" w:hAnsi="Arial Narrow"/>
          <w:sz w:val="22"/>
          <w:szCs w:val="22"/>
          <w:lang w:eastAsia="fr-FR"/>
        </w:rPr>
        <w:t>, P+B</w:t>
      </w:r>
    </w:p>
    <w:p w14:paraId="71A105FF"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 xml:space="preserve">Si l'article R. 112-2 du Code de la sécurité sociale fait peser sur les organismes de sécurité sociale une obligation générale d'information envers les assurés, il ne leur appartient, en l'absence de demande de ces derniers, ni de prendre l'initiative de les renseigner sur leurs droits éventuels, ni de porter à leur connaissance des textes publiés au </w:t>
      </w:r>
      <w:r w:rsidRPr="00127BCD">
        <w:rPr>
          <w:rFonts w:ascii="Arial Narrow" w:hAnsi="Arial Narrow"/>
          <w:i/>
          <w:iCs/>
          <w:sz w:val="22"/>
          <w:szCs w:val="22"/>
          <w:lang w:eastAsia="fr-FR"/>
        </w:rPr>
        <w:t>Journal officiel</w:t>
      </w:r>
      <w:r w:rsidRPr="00127BCD">
        <w:rPr>
          <w:rFonts w:ascii="Arial Narrow" w:hAnsi="Arial Narrow"/>
          <w:sz w:val="22"/>
          <w:szCs w:val="22"/>
          <w:lang w:eastAsia="fr-FR"/>
        </w:rPr>
        <w:t xml:space="preserve"> (voir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65 du présent bulletin).</w:t>
      </w:r>
    </w:p>
    <w:p w14:paraId="4970037E" w14:textId="77777777" w:rsidR="00127BCD" w:rsidRPr="00127BCD" w:rsidRDefault="00127BCD" w:rsidP="00127BCD">
      <w:pPr>
        <w:spacing w:before="120"/>
        <w:rPr>
          <w:rFonts w:ascii="Arial Narrow" w:hAnsi="Arial Narrow"/>
          <w:b/>
          <w:sz w:val="22"/>
          <w:szCs w:val="22"/>
          <w:lang w:eastAsia="fr-FR"/>
        </w:rPr>
      </w:pPr>
      <w:r w:rsidRPr="00127BCD">
        <w:rPr>
          <w:rFonts w:ascii="Arial Narrow" w:hAnsi="Arial Narrow"/>
          <w:b/>
          <w:sz w:val="22"/>
          <w:szCs w:val="22"/>
          <w:lang w:eastAsia="fr-FR"/>
        </w:rPr>
        <w:t>Mise à jour par lettre d'actualités n</w:t>
      </w:r>
      <w:r w:rsidRPr="00127BCD">
        <w:rPr>
          <w:rFonts w:ascii="Arial Narrow" w:hAnsi="Arial Narrow"/>
          <w:b/>
          <w:sz w:val="22"/>
          <w:szCs w:val="22"/>
          <w:vertAlign w:val="superscript"/>
          <w:lang w:eastAsia="fr-FR"/>
        </w:rPr>
        <w:t>o</w:t>
      </w:r>
      <w:r w:rsidRPr="00127BCD">
        <w:rPr>
          <w:rFonts w:ascii="Arial Narrow" w:hAnsi="Arial Narrow"/>
          <w:b/>
          <w:sz w:val="22"/>
          <w:szCs w:val="22"/>
          <w:lang w:eastAsia="fr-FR"/>
        </w:rPr>
        <w:t> 292, Février 2014</w:t>
      </w:r>
    </w:p>
    <w:p w14:paraId="6942DC5A" w14:textId="77777777" w:rsidR="00127BCD" w:rsidRPr="00127BCD" w:rsidRDefault="00497AA8" w:rsidP="00127BCD">
      <w:pPr>
        <w:spacing w:before="120"/>
        <w:rPr>
          <w:rFonts w:ascii="Arial Narrow" w:hAnsi="Arial Narrow"/>
          <w:sz w:val="22"/>
          <w:szCs w:val="22"/>
          <w:lang w:val="it-IT" w:eastAsia="fr-FR"/>
        </w:rPr>
      </w:pPr>
      <w:hyperlink r:id="rId36" w:history="1">
        <w:r w:rsidR="00127BCD" w:rsidRPr="00127BCD">
          <w:rPr>
            <w:rFonts w:ascii="Arial Narrow" w:hAnsi="Arial Narrow"/>
            <w:color w:val="0000FF"/>
            <w:sz w:val="22"/>
            <w:szCs w:val="22"/>
            <w:u w:val="single"/>
            <w:lang w:val="it-IT" w:eastAsia="fr-FR"/>
          </w:rPr>
          <w:t>Cass. 2</w:t>
        </w:r>
        <w:r w:rsidR="00127BCD" w:rsidRPr="00127BCD">
          <w:rPr>
            <w:rFonts w:ascii="Arial Narrow" w:hAnsi="Arial Narrow"/>
            <w:color w:val="0000FF"/>
            <w:sz w:val="22"/>
            <w:szCs w:val="22"/>
            <w:u w:val="single"/>
            <w:vertAlign w:val="superscript"/>
            <w:lang w:val="it-IT" w:eastAsia="fr-FR"/>
          </w:rPr>
          <w:t>e</w:t>
        </w:r>
        <w:r w:rsidR="00127BCD" w:rsidRPr="00127BCD">
          <w:rPr>
            <w:rFonts w:ascii="Arial Narrow" w:hAnsi="Arial Narrow"/>
            <w:color w:val="0000FF"/>
            <w:sz w:val="22"/>
            <w:szCs w:val="22"/>
            <w:u w:val="single"/>
            <w:lang w:val="it-IT" w:eastAsia="fr-FR"/>
          </w:rPr>
          <w:t> civ., 19 déc. 2013, n</w:t>
        </w:r>
        <w:r w:rsidR="00127BCD" w:rsidRPr="00127BCD">
          <w:rPr>
            <w:rFonts w:ascii="Arial Narrow" w:hAnsi="Arial Narrow"/>
            <w:color w:val="0000FF"/>
            <w:sz w:val="22"/>
            <w:szCs w:val="22"/>
            <w:u w:val="single"/>
            <w:vertAlign w:val="superscript"/>
            <w:lang w:val="it-IT" w:eastAsia="fr-FR"/>
          </w:rPr>
          <w:t>o</w:t>
        </w:r>
        <w:r w:rsidR="00127BCD" w:rsidRPr="00127BCD">
          <w:rPr>
            <w:rFonts w:ascii="Arial Narrow" w:hAnsi="Arial Narrow"/>
            <w:color w:val="0000FF"/>
            <w:sz w:val="22"/>
            <w:szCs w:val="22"/>
            <w:u w:val="single"/>
            <w:lang w:val="it-IT" w:eastAsia="fr-FR"/>
          </w:rPr>
          <w:t> 12-27.467</w:t>
        </w:r>
      </w:hyperlink>
      <w:r w:rsidR="00127BCD" w:rsidRPr="00127BCD">
        <w:rPr>
          <w:rFonts w:ascii="Arial Narrow" w:hAnsi="Arial Narrow"/>
          <w:sz w:val="22"/>
          <w:szCs w:val="22"/>
          <w:lang w:val="it-IT" w:eastAsia="fr-FR"/>
        </w:rPr>
        <w:t>, P+B</w:t>
      </w:r>
    </w:p>
    <w:p w14:paraId="450C51E5"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Dans le prolongement de son arrêt du 28 novembre 2013 (</w:t>
      </w:r>
      <w:hyperlink r:id="rId37" w:history="1">
        <w:r w:rsidRPr="00127BCD">
          <w:rPr>
            <w:rFonts w:ascii="Arial Narrow" w:hAnsi="Arial Narrow"/>
            <w:color w:val="0000FF"/>
            <w:sz w:val="22"/>
            <w:szCs w:val="22"/>
            <w:u w:val="single"/>
            <w:lang w:eastAsia="fr-FR"/>
          </w:rPr>
          <w:t>Cass. 2</w:t>
        </w:r>
        <w:r w:rsidRPr="00127BCD">
          <w:rPr>
            <w:rFonts w:ascii="Arial Narrow" w:hAnsi="Arial Narrow"/>
            <w:color w:val="0000FF"/>
            <w:sz w:val="22"/>
            <w:szCs w:val="22"/>
            <w:u w:val="single"/>
            <w:vertAlign w:val="superscript"/>
            <w:lang w:eastAsia="fr-FR"/>
          </w:rPr>
          <w:t>e</w:t>
        </w:r>
        <w:r w:rsidRPr="00127BCD">
          <w:rPr>
            <w:rFonts w:ascii="Arial Narrow" w:hAnsi="Arial Narrow"/>
            <w:color w:val="0000FF"/>
            <w:sz w:val="22"/>
            <w:szCs w:val="22"/>
            <w:u w:val="single"/>
            <w:lang w:eastAsia="fr-FR"/>
          </w:rPr>
          <w:t> civ., 28 nov. 2013, n</w:t>
        </w:r>
        <w:r w:rsidRPr="00127BCD">
          <w:rPr>
            <w:rFonts w:ascii="Arial Narrow" w:hAnsi="Arial Narrow"/>
            <w:color w:val="0000FF"/>
            <w:sz w:val="22"/>
            <w:szCs w:val="22"/>
            <w:u w:val="single"/>
            <w:vertAlign w:val="superscript"/>
            <w:lang w:eastAsia="fr-FR"/>
          </w:rPr>
          <w:t>o</w:t>
        </w:r>
        <w:r w:rsidRPr="00127BCD">
          <w:rPr>
            <w:rFonts w:ascii="Arial Narrow" w:hAnsi="Arial Narrow"/>
            <w:color w:val="0000FF"/>
            <w:sz w:val="22"/>
            <w:szCs w:val="22"/>
            <w:u w:val="single"/>
            <w:lang w:eastAsia="fr-FR"/>
          </w:rPr>
          <w:t> 12-24.210</w:t>
        </w:r>
      </w:hyperlink>
      <w:r w:rsidRPr="00127BCD">
        <w:rPr>
          <w:rFonts w:ascii="Arial Narrow" w:hAnsi="Arial Narrow"/>
          <w:sz w:val="22"/>
          <w:szCs w:val="22"/>
          <w:lang w:eastAsia="fr-FR"/>
        </w:rPr>
        <w:t xml:space="preserve">, P+B ; voir </w:t>
      </w:r>
      <w:r w:rsidRPr="00127BCD">
        <w:rPr>
          <w:rFonts w:ascii="Arial Narrow" w:hAnsi="Arial Narrow"/>
          <w:i/>
          <w:iCs/>
          <w:sz w:val="22"/>
          <w:szCs w:val="22"/>
          <w:lang w:eastAsia="fr-FR"/>
        </w:rPr>
        <w:t>Bulletin F, janvier 2014</w:t>
      </w:r>
      <w:r w:rsidRPr="00127BCD">
        <w:rPr>
          <w:rFonts w:ascii="Arial Narrow" w:hAnsi="Arial Narrow"/>
          <w:sz w:val="22"/>
          <w:szCs w:val="22"/>
          <w:lang w:eastAsia="fr-FR"/>
        </w:rPr>
        <w:t>, n</w:t>
      </w:r>
      <w:r w:rsidRPr="00127BCD">
        <w:rPr>
          <w:rFonts w:ascii="Arial Narrow" w:hAnsi="Arial Narrow"/>
          <w:sz w:val="22"/>
          <w:szCs w:val="22"/>
          <w:vertAlign w:val="superscript"/>
          <w:lang w:eastAsia="fr-FR"/>
        </w:rPr>
        <w:t>o</w:t>
      </w:r>
      <w:r w:rsidRPr="00127BCD">
        <w:rPr>
          <w:rFonts w:ascii="Arial Narrow" w:hAnsi="Arial Narrow"/>
          <w:sz w:val="22"/>
          <w:szCs w:val="22"/>
          <w:lang w:eastAsia="fr-FR"/>
        </w:rPr>
        <w:t> 65), la deuxième chambre civile de la Cour de cassation précise les contours de l'obligation générale d'information des organismes de sécurité sociale envers les assurés, en retenant que l'article R. 112-2 du Code de la sécurité sociale, aux termes duquel « </w:t>
      </w:r>
      <w:r w:rsidRPr="00127BCD">
        <w:rPr>
          <w:rFonts w:ascii="Arial Narrow" w:hAnsi="Arial Narrow"/>
          <w:i/>
          <w:iCs/>
          <w:sz w:val="22"/>
          <w:szCs w:val="22"/>
          <w:lang w:eastAsia="fr-FR"/>
        </w:rPr>
        <w:t>avec le concours des organismes de sécurité sociale, le ministre chargé de la sécurité sociale prend toutes mesures utiles afin d'assurer l'information générale des assurés sociaux</w:t>
      </w:r>
      <w:r w:rsidRPr="00127BCD">
        <w:rPr>
          <w:rFonts w:ascii="Arial Narrow" w:hAnsi="Arial Narrow"/>
          <w:sz w:val="22"/>
          <w:szCs w:val="22"/>
          <w:lang w:eastAsia="fr-FR"/>
        </w:rPr>
        <w:t> », impose seulement aux organismes de répondre aux demandes qui leur sont soumises par les assurés.</w:t>
      </w:r>
    </w:p>
    <w:p w14:paraId="04AE98EF" w14:textId="77777777" w:rsidR="00127BCD" w:rsidRPr="00127BCD" w:rsidRDefault="00127BCD" w:rsidP="00127BCD">
      <w:pPr>
        <w:spacing w:before="120"/>
        <w:rPr>
          <w:rFonts w:ascii="Arial Narrow" w:hAnsi="Arial Narrow"/>
          <w:sz w:val="22"/>
          <w:szCs w:val="22"/>
          <w:lang w:eastAsia="fr-FR"/>
        </w:rPr>
      </w:pPr>
      <w:r w:rsidRPr="00127BCD">
        <w:rPr>
          <w:rFonts w:ascii="Arial Narrow" w:hAnsi="Arial Narrow"/>
          <w:sz w:val="22"/>
          <w:szCs w:val="22"/>
          <w:lang w:eastAsia="fr-FR"/>
        </w:rPr>
        <w:t>Il en résulte qu'une caisse de retraite n'a pas à rechercher les personnes qui avaient par le passé relevé de son régime en vue de leur donner une information précise sur les apports d'une loi nouvelle, afin d'éviter qu'elles ne forment tardivement leur demande de départ à la retraite et ne subissent ainsi un préjudice du fait de l'impossibilité de faire rétroagir le point de départ de la pension.</w:t>
      </w:r>
    </w:p>
    <w:p w14:paraId="392DBB07" w14:textId="77777777" w:rsidR="004603D6" w:rsidRPr="00172004" w:rsidRDefault="004603D6" w:rsidP="00127BCD">
      <w:pPr>
        <w:spacing w:before="120"/>
        <w:rPr>
          <w:rFonts w:ascii="Arial Narrow" w:eastAsia="Calibri" w:hAnsi="Arial Narrow"/>
          <w:sz w:val="22"/>
          <w:szCs w:val="22"/>
        </w:rPr>
      </w:pPr>
    </w:p>
    <w:sectPr w:rsidR="004603D6" w:rsidRPr="00172004" w:rsidSect="00292C1B">
      <w:headerReference w:type="even" r:id="rId38"/>
      <w:headerReference w:type="default" r:id="rId39"/>
      <w:footerReference w:type="even" r:id="rId40"/>
      <w:footerReference w:type="default" r:id="rId41"/>
      <w:headerReference w:type="first" r:id="rId42"/>
      <w:footerReference w:type="first" r:id="rId4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36ED1" w14:textId="77777777" w:rsidR="00497AA8" w:rsidRDefault="00497AA8" w:rsidP="00437985">
      <w:r>
        <w:separator/>
      </w:r>
    </w:p>
  </w:endnote>
  <w:endnote w:type="continuationSeparator" w:id="0">
    <w:p w14:paraId="2BEED29B" w14:textId="77777777" w:rsidR="00497AA8" w:rsidRDefault="00497AA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F289"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17AA7" w14:textId="52C9D562" w:rsidR="002D7C3A" w:rsidRPr="00EB6C8F" w:rsidRDefault="00312C27" w:rsidP="00EB6C8F">
    <w:pPr>
      <w:pStyle w:val="Pieddepage"/>
      <w:pBdr>
        <w:top w:val="single" w:sz="4" w:space="0" w:color="auto"/>
      </w:pBdr>
      <w:tabs>
        <w:tab w:val="clear" w:pos="4536"/>
        <w:tab w:val="center" w:pos="4860"/>
        <w:tab w:val="left" w:pos="8364"/>
      </w:tabs>
      <w:rPr>
        <w:rFonts w:ascii="Arial Narrow" w:hAnsi="Arial Narrow"/>
      </w:rPr>
    </w:pPr>
    <w:fldSimple w:instr=" FILENAME  \* Lower  \* MERGEFORMAT ">
      <w:r>
        <w:rPr>
          <w:noProof/>
        </w:rPr>
        <w:t>responsabilité civile organismes securite sociale</w:t>
      </w:r>
    </w:fldSimple>
    <w:r>
      <w:t xml:space="preserve"> - </w:t>
    </w:r>
    <w:r w:rsidR="002D7C3A">
      <w:tab/>
    </w:r>
    <w:r w:rsidR="002D7C3A" w:rsidRPr="00651D35">
      <w:rPr>
        <w:rStyle w:val="Numrodepage"/>
        <w:rFonts w:ascii="Arial Narrow" w:hAnsi="Arial Narrow"/>
      </w:rPr>
      <w:fldChar w:fldCharType="begin"/>
    </w:r>
    <w:r w:rsidR="002D7C3A" w:rsidRPr="00651D35">
      <w:rPr>
        <w:rStyle w:val="Numrodepage"/>
        <w:rFonts w:ascii="Arial Narrow" w:hAnsi="Arial Narrow"/>
      </w:rPr>
      <w:instrText xml:space="preserve"> PAGE </w:instrText>
    </w:r>
    <w:r w:rsidR="002D7C3A" w:rsidRPr="00651D35">
      <w:rPr>
        <w:rStyle w:val="Numrodepage"/>
        <w:rFonts w:ascii="Arial Narrow" w:hAnsi="Arial Narrow"/>
      </w:rPr>
      <w:fldChar w:fldCharType="separate"/>
    </w:r>
    <w:r w:rsidR="002D7C3A">
      <w:rPr>
        <w:rStyle w:val="Numrodepage"/>
        <w:rFonts w:ascii="Arial Narrow" w:hAnsi="Arial Narrow"/>
        <w:noProof/>
      </w:rPr>
      <w:t>1</w:t>
    </w:r>
    <w:r w:rsidR="002D7C3A" w:rsidRPr="00651D35">
      <w:rPr>
        <w:rStyle w:val="Numrodepage"/>
        <w:rFonts w:ascii="Arial Narrow" w:hAnsi="Arial Narrow"/>
      </w:rPr>
      <w:fldChar w:fldCharType="end"/>
    </w:r>
    <w:r w:rsidR="002D7C3A" w:rsidRPr="00651D35">
      <w:rPr>
        <w:rStyle w:val="Numrodepage"/>
        <w:rFonts w:ascii="Arial Narrow" w:hAnsi="Arial Narrow"/>
      </w:rPr>
      <w:t xml:space="preserve"> / </w:t>
    </w:r>
    <w:r w:rsidR="002D7C3A" w:rsidRPr="00651D35">
      <w:rPr>
        <w:rStyle w:val="Numrodepage"/>
        <w:rFonts w:ascii="Arial Narrow" w:hAnsi="Arial Narrow"/>
      </w:rPr>
      <w:fldChar w:fldCharType="begin"/>
    </w:r>
    <w:r w:rsidR="002D7C3A" w:rsidRPr="00651D35">
      <w:rPr>
        <w:rStyle w:val="Numrodepage"/>
        <w:rFonts w:ascii="Arial Narrow" w:hAnsi="Arial Narrow"/>
      </w:rPr>
      <w:instrText xml:space="preserve"> NUMPAGES </w:instrText>
    </w:r>
    <w:r w:rsidR="002D7C3A" w:rsidRPr="00651D35">
      <w:rPr>
        <w:rStyle w:val="Numrodepage"/>
        <w:rFonts w:ascii="Arial Narrow" w:hAnsi="Arial Narrow"/>
      </w:rPr>
      <w:fldChar w:fldCharType="separate"/>
    </w:r>
    <w:r w:rsidR="002D7C3A">
      <w:rPr>
        <w:rStyle w:val="Numrodepage"/>
        <w:rFonts w:ascii="Arial Narrow" w:hAnsi="Arial Narrow"/>
        <w:noProof/>
      </w:rPr>
      <w:t>27</w:t>
    </w:r>
    <w:r w:rsidR="002D7C3A" w:rsidRPr="00651D35">
      <w:rPr>
        <w:rStyle w:val="Numrodepage"/>
        <w:rFonts w:ascii="Arial Narrow" w:hAnsi="Arial Narrow"/>
      </w:rPr>
      <w:fldChar w:fldCharType="end"/>
    </w:r>
    <w:r w:rsidR="002D7C3A" w:rsidRPr="00C048E1">
      <w:rPr>
        <w:rStyle w:val="Numrodepag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E6FA4"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67F8B" w14:textId="77777777" w:rsidR="00497AA8" w:rsidRDefault="00497AA8" w:rsidP="00437985">
      <w:r>
        <w:separator/>
      </w:r>
    </w:p>
  </w:footnote>
  <w:footnote w:type="continuationSeparator" w:id="0">
    <w:p w14:paraId="1F62AE55" w14:textId="77777777" w:rsidR="00497AA8" w:rsidRDefault="00497AA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A4A10"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9B4A"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F1A5B"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99C551C"/>
    <w:multiLevelType w:val="multilevel"/>
    <w:tmpl w:val="DB0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420D7"/>
    <w:multiLevelType w:val="multilevel"/>
    <w:tmpl w:val="FD2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C5978"/>
    <w:multiLevelType w:val="multilevel"/>
    <w:tmpl w:val="224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34C27"/>
    <w:multiLevelType w:val="hybridMultilevel"/>
    <w:tmpl w:val="11AE96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0"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6EDC2AF6"/>
    <w:multiLevelType w:val="multilevel"/>
    <w:tmpl w:val="ACF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8"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18"/>
  </w:num>
  <w:num w:numId="14">
    <w:abstractNumId w:val="22"/>
  </w:num>
  <w:num w:numId="1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12"/>
  </w:num>
  <w:num w:numId="18">
    <w:abstractNumId w:val="14"/>
  </w:num>
  <w:num w:numId="19">
    <w:abstractNumId w:val="27"/>
  </w:num>
  <w:num w:numId="20">
    <w:abstractNumId w:val="28"/>
  </w:num>
  <w:num w:numId="21">
    <w:abstractNumId w:val="20"/>
  </w:num>
  <w:num w:numId="22">
    <w:abstractNumId w:val="25"/>
  </w:num>
  <w:num w:numId="23">
    <w:abstractNumId w:val="17"/>
  </w:num>
  <w:num w:numId="24">
    <w:abstractNumId w:val="21"/>
  </w:num>
  <w:num w:numId="25">
    <w:abstractNumId w:val="11"/>
  </w:num>
  <w:num w:numId="26">
    <w:abstractNumId w:val="15"/>
  </w:num>
  <w:num w:numId="27">
    <w:abstractNumId w:val="13"/>
  </w:num>
  <w:num w:numId="28">
    <w:abstractNumId w:val="24"/>
  </w:num>
  <w:num w:numId="2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CD"/>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27BCD"/>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738"/>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00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C27"/>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AA8"/>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0FE"/>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AB7"/>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412"/>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0B4"/>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6C5"/>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C96"/>
    <w:rsid w:val="00B80186"/>
    <w:rsid w:val="00B80918"/>
    <w:rsid w:val="00B81662"/>
    <w:rsid w:val="00B82D20"/>
    <w:rsid w:val="00B836EA"/>
    <w:rsid w:val="00B840B9"/>
    <w:rsid w:val="00B842C9"/>
    <w:rsid w:val="00B84573"/>
    <w:rsid w:val="00B8529B"/>
    <w:rsid w:val="00B85720"/>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4BDA"/>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4354"/>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2D4F"/>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9DDAB"/>
  <w15:docId w15:val="{0C83D1A8-FB7A-4517-A16C-5B70491F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E8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162859833">
      <w:bodyDiv w:val="1"/>
      <w:marLeft w:val="0"/>
      <w:marRight w:val="0"/>
      <w:marTop w:val="0"/>
      <w:marBottom w:val="0"/>
      <w:divBdr>
        <w:top w:val="none" w:sz="0" w:space="0" w:color="auto"/>
        <w:left w:val="none" w:sz="0" w:space="0" w:color="auto"/>
        <w:bottom w:val="none" w:sz="0" w:space="0" w:color="auto"/>
        <w:right w:val="none" w:sz="0" w:space="0" w:color="auto"/>
      </w:divBdr>
      <w:divsChild>
        <w:div w:id="423763181">
          <w:marLeft w:val="0"/>
          <w:marRight w:val="0"/>
          <w:marTop w:val="0"/>
          <w:marBottom w:val="0"/>
          <w:divBdr>
            <w:top w:val="none" w:sz="0" w:space="0" w:color="auto"/>
            <w:left w:val="none" w:sz="0" w:space="0" w:color="auto"/>
            <w:bottom w:val="none" w:sz="0" w:space="0" w:color="auto"/>
            <w:right w:val="none" w:sz="0" w:space="0" w:color="auto"/>
          </w:divBdr>
          <w:divsChild>
            <w:div w:id="837380585">
              <w:marLeft w:val="0"/>
              <w:marRight w:val="0"/>
              <w:marTop w:val="0"/>
              <w:marBottom w:val="0"/>
              <w:divBdr>
                <w:top w:val="none" w:sz="0" w:space="0" w:color="auto"/>
                <w:left w:val="none" w:sz="0" w:space="0" w:color="auto"/>
                <w:bottom w:val="none" w:sz="0" w:space="0" w:color="auto"/>
                <w:right w:val="none" w:sz="0" w:space="0" w:color="auto"/>
              </w:divBdr>
              <w:divsChild>
                <w:div w:id="1940524714">
                  <w:marLeft w:val="0"/>
                  <w:marRight w:val="0"/>
                  <w:marTop w:val="0"/>
                  <w:marBottom w:val="0"/>
                  <w:divBdr>
                    <w:top w:val="none" w:sz="0" w:space="0" w:color="auto"/>
                    <w:left w:val="none" w:sz="0" w:space="0" w:color="auto"/>
                    <w:bottom w:val="none" w:sz="0" w:space="0" w:color="auto"/>
                    <w:right w:val="none" w:sz="0" w:space="0" w:color="auto"/>
                  </w:divBdr>
                </w:div>
                <w:div w:id="592475192">
                  <w:marLeft w:val="0"/>
                  <w:marRight w:val="0"/>
                  <w:marTop w:val="0"/>
                  <w:marBottom w:val="0"/>
                  <w:divBdr>
                    <w:top w:val="none" w:sz="0" w:space="0" w:color="auto"/>
                    <w:left w:val="none" w:sz="0" w:space="0" w:color="auto"/>
                    <w:bottom w:val="none" w:sz="0" w:space="0" w:color="auto"/>
                    <w:right w:val="none" w:sz="0" w:space="0" w:color="auto"/>
                  </w:divBdr>
                </w:div>
              </w:divsChild>
            </w:div>
            <w:div w:id="1458523912">
              <w:marLeft w:val="0"/>
              <w:marRight w:val="0"/>
              <w:marTop w:val="0"/>
              <w:marBottom w:val="0"/>
              <w:divBdr>
                <w:top w:val="none" w:sz="0" w:space="0" w:color="auto"/>
                <w:left w:val="none" w:sz="0" w:space="0" w:color="auto"/>
                <w:bottom w:val="none" w:sz="0" w:space="0" w:color="auto"/>
                <w:right w:val="none" w:sz="0" w:space="0" w:color="auto"/>
              </w:divBdr>
              <w:divsChild>
                <w:div w:id="1211844679">
                  <w:marLeft w:val="0"/>
                  <w:marRight w:val="0"/>
                  <w:marTop w:val="0"/>
                  <w:marBottom w:val="0"/>
                  <w:divBdr>
                    <w:top w:val="none" w:sz="0" w:space="0" w:color="auto"/>
                    <w:left w:val="none" w:sz="0" w:space="0" w:color="auto"/>
                    <w:bottom w:val="none" w:sz="0" w:space="0" w:color="auto"/>
                    <w:right w:val="none" w:sz="0" w:space="0" w:color="auto"/>
                  </w:divBdr>
                </w:div>
                <w:div w:id="2000186268">
                  <w:marLeft w:val="0"/>
                  <w:marRight w:val="0"/>
                  <w:marTop w:val="0"/>
                  <w:marBottom w:val="0"/>
                  <w:divBdr>
                    <w:top w:val="none" w:sz="0" w:space="0" w:color="auto"/>
                    <w:left w:val="none" w:sz="0" w:space="0" w:color="auto"/>
                    <w:bottom w:val="none" w:sz="0" w:space="0" w:color="auto"/>
                    <w:right w:val="none" w:sz="0" w:space="0" w:color="auto"/>
                  </w:divBdr>
                </w:div>
              </w:divsChild>
            </w:div>
            <w:div w:id="1248273087">
              <w:marLeft w:val="0"/>
              <w:marRight w:val="0"/>
              <w:marTop w:val="0"/>
              <w:marBottom w:val="0"/>
              <w:divBdr>
                <w:top w:val="none" w:sz="0" w:space="0" w:color="auto"/>
                <w:left w:val="none" w:sz="0" w:space="0" w:color="auto"/>
                <w:bottom w:val="none" w:sz="0" w:space="0" w:color="auto"/>
                <w:right w:val="none" w:sz="0" w:space="0" w:color="auto"/>
              </w:divBdr>
              <w:divsChild>
                <w:div w:id="1942685896">
                  <w:marLeft w:val="0"/>
                  <w:marRight w:val="0"/>
                  <w:marTop w:val="0"/>
                  <w:marBottom w:val="0"/>
                  <w:divBdr>
                    <w:top w:val="none" w:sz="0" w:space="0" w:color="auto"/>
                    <w:left w:val="none" w:sz="0" w:space="0" w:color="auto"/>
                    <w:bottom w:val="none" w:sz="0" w:space="0" w:color="auto"/>
                    <w:right w:val="none" w:sz="0" w:space="0" w:color="auto"/>
                  </w:divBdr>
                </w:div>
                <w:div w:id="1553078132">
                  <w:marLeft w:val="0"/>
                  <w:marRight w:val="0"/>
                  <w:marTop w:val="0"/>
                  <w:marBottom w:val="0"/>
                  <w:divBdr>
                    <w:top w:val="none" w:sz="0" w:space="0" w:color="auto"/>
                    <w:left w:val="none" w:sz="0" w:space="0" w:color="auto"/>
                    <w:bottom w:val="none" w:sz="0" w:space="0" w:color="auto"/>
                    <w:right w:val="none" w:sz="0" w:space="0" w:color="auto"/>
                  </w:divBdr>
                </w:div>
              </w:divsChild>
            </w:div>
            <w:div w:id="652099602">
              <w:marLeft w:val="0"/>
              <w:marRight w:val="0"/>
              <w:marTop w:val="0"/>
              <w:marBottom w:val="0"/>
              <w:divBdr>
                <w:top w:val="none" w:sz="0" w:space="0" w:color="auto"/>
                <w:left w:val="none" w:sz="0" w:space="0" w:color="auto"/>
                <w:bottom w:val="none" w:sz="0" w:space="0" w:color="auto"/>
                <w:right w:val="none" w:sz="0" w:space="0" w:color="auto"/>
              </w:divBdr>
              <w:divsChild>
                <w:div w:id="300619831">
                  <w:marLeft w:val="0"/>
                  <w:marRight w:val="0"/>
                  <w:marTop w:val="0"/>
                  <w:marBottom w:val="0"/>
                  <w:divBdr>
                    <w:top w:val="none" w:sz="0" w:space="0" w:color="auto"/>
                    <w:left w:val="none" w:sz="0" w:space="0" w:color="auto"/>
                    <w:bottom w:val="none" w:sz="0" w:space="0" w:color="auto"/>
                    <w:right w:val="none" w:sz="0" w:space="0" w:color="auto"/>
                  </w:divBdr>
                </w:div>
                <w:div w:id="21206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341">
          <w:marLeft w:val="0"/>
          <w:marRight w:val="0"/>
          <w:marTop w:val="0"/>
          <w:marBottom w:val="0"/>
          <w:divBdr>
            <w:top w:val="none" w:sz="0" w:space="0" w:color="auto"/>
            <w:left w:val="none" w:sz="0" w:space="0" w:color="auto"/>
            <w:bottom w:val="none" w:sz="0" w:space="0" w:color="auto"/>
            <w:right w:val="none" w:sz="0" w:space="0" w:color="auto"/>
          </w:divBdr>
          <w:divsChild>
            <w:div w:id="1082608991">
              <w:marLeft w:val="0"/>
              <w:marRight w:val="0"/>
              <w:marTop w:val="0"/>
              <w:marBottom w:val="0"/>
              <w:divBdr>
                <w:top w:val="none" w:sz="0" w:space="0" w:color="auto"/>
                <w:left w:val="none" w:sz="0" w:space="0" w:color="auto"/>
                <w:bottom w:val="none" w:sz="0" w:space="0" w:color="auto"/>
                <w:right w:val="none" w:sz="0" w:space="0" w:color="auto"/>
              </w:divBdr>
              <w:divsChild>
                <w:div w:id="1125276322">
                  <w:marLeft w:val="0"/>
                  <w:marRight w:val="0"/>
                  <w:marTop w:val="0"/>
                  <w:marBottom w:val="0"/>
                  <w:divBdr>
                    <w:top w:val="none" w:sz="0" w:space="0" w:color="auto"/>
                    <w:left w:val="none" w:sz="0" w:space="0" w:color="auto"/>
                    <w:bottom w:val="none" w:sz="0" w:space="0" w:color="auto"/>
                    <w:right w:val="none" w:sz="0" w:space="0" w:color="auto"/>
                  </w:divBdr>
                </w:div>
                <w:div w:id="600798232">
                  <w:marLeft w:val="0"/>
                  <w:marRight w:val="0"/>
                  <w:marTop w:val="0"/>
                  <w:marBottom w:val="0"/>
                  <w:divBdr>
                    <w:top w:val="none" w:sz="0" w:space="0" w:color="auto"/>
                    <w:left w:val="none" w:sz="0" w:space="0" w:color="auto"/>
                    <w:bottom w:val="none" w:sz="0" w:space="0" w:color="auto"/>
                    <w:right w:val="none" w:sz="0" w:space="0" w:color="auto"/>
                  </w:divBdr>
                </w:div>
                <w:div w:id="1914701681">
                  <w:marLeft w:val="0"/>
                  <w:marRight w:val="0"/>
                  <w:marTop w:val="0"/>
                  <w:marBottom w:val="0"/>
                  <w:divBdr>
                    <w:top w:val="none" w:sz="0" w:space="0" w:color="auto"/>
                    <w:left w:val="none" w:sz="0" w:space="0" w:color="auto"/>
                    <w:bottom w:val="none" w:sz="0" w:space="0" w:color="auto"/>
                    <w:right w:val="none" w:sz="0" w:space="0" w:color="auto"/>
                  </w:divBdr>
                </w:div>
                <w:div w:id="2008239803">
                  <w:marLeft w:val="0"/>
                  <w:marRight w:val="0"/>
                  <w:marTop w:val="0"/>
                  <w:marBottom w:val="0"/>
                  <w:divBdr>
                    <w:top w:val="none" w:sz="0" w:space="0" w:color="auto"/>
                    <w:left w:val="none" w:sz="0" w:space="0" w:color="auto"/>
                    <w:bottom w:val="none" w:sz="0" w:space="0" w:color="auto"/>
                    <w:right w:val="none" w:sz="0" w:space="0" w:color="auto"/>
                  </w:divBdr>
                </w:div>
                <w:div w:id="1554390531">
                  <w:marLeft w:val="0"/>
                  <w:marRight w:val="0"/>
                  <w:marTop w:val="0"/>
                  <w:marBottom w:val="0"/>
                  <w:divBdr>
                    <w:top w:val="none" w:sz="0" w:space="0" w:color="auto"/>
                    <w:left w:val="none" w:sz="0" w:space="0" w:color="auto"/>
                    <w:bottom w:val="none" w:sz="0" w:space="0" w:color="auto"/>
                    <w:right w:val="none" w:sz="0" w:space="0" w:color="auto"/>
                  </w:divBdr>
                  <w:divsChild>
                    <w:div w:id="798496281">
                      <w:marLeft w:val="0"/>
                      <w:marRight w:val="0"/>
                      <w:marTop w:val="0"/>
                      <w:marBottom w:val="0"/>
                      <w:divBdr>
                        <w:top w:val="none" w:sz="0" w:space="0" w:color="auto"/>
                        <w:left w:val="none" w:sz="0" w:space="0" w:color="auto"/>
                        <w:bottom w:val="none" w:sz="0" w:space="0" w:color="auto"/>
                        <w:right w:val="none" w:sz="0" w:space="0" w:color="auto"/>
                      </w:divBdr>
                    </w:div>
                    <w:div w:id="1413816862">
                      <w:marLeft w:val="0"/>
                      <w:marRight w:val="0"/>
                      <w:marTop w:val="0"/>
                      <w:marBottom w:val="0"/>
                      <w:divBdr>
                        <w:top w:val="none" w:sz="0" w:space="0" w:color="auto"/>
                        <w:left w:val="none" w:sz="0" w:space="0" w:color="auto"/>
                        <w:bottom w:val="none" w:sz="0" w:space="0" w:color="auto"/>
                        <w:right w:val="none" w:sz="0" w:space="0" w:color="auto"/>
                      </w:divBdr>
                    </w:div>
                  </w:divsChild>
                </w:div>
                <w:div w:id="2087411570">
                  <w:marLeft w:val="0"/>
                  <w:marRight w:val="0"/>
                  <w:marTop w:val="0"/>
                  <w:marBottom w:val="0"/>
                  <w:divBdr>
                    <w:top w:val="none" w:sz="0" w:space="0" w:color="auto"/>
                    <w:left w:val="none" w:sz="0" w:space="0" w:color="auto"/>
                    <w:bottom w:val="none" w:sz="0" w:space="0" w:color="auto"/>
                    <w:right w:val="none" w:sz="0" w:space="0" w:color="auto"/>
                  </w:divBdr>
                </w:div>
              </w:divsChild>
            </w:div>
            <w:div w:id="861551735">
              <w:marLeft w:val="0"/>
              <w:marRight w:val="0"/>
              <w:marTop w:val="0"/>
              <w:marBottom w:val="0"/>
              <w:divBdr>
                <w:top w:val="none" w:sz="0" w:space="0" w:color="auto"/>
                <w:left w:val="none" w:sz="0" w:space="0" w:color="auto"/>
                <w:bottom w:val="none" w:sz="0" w:space="0" w:color="auto"/>
                <w:right w:val="none" w:sz="0" w:space="0" w:color="auto"/>
              </w:divBdr>
              <w:divsChild>
                <w:div w:id="1607420239">
                  <w:marLeft w:val="0"/>
                  <w:marRight w:val="0"/>
                  <w:marTop w:val="0"/>
                  <w:marBottom w:val="0"/>
                  <w:divBdr>
                    <w:top w:val="none" w:sz="0" w:space="0" w:color="auto"/>
                    <w:left w:val="none" w:sz="0" w:space="0" w:color="auto"/>
                    <w:bottom w:val="none" w:sz="0" w:space="0" w:color="auto"/>
                    <w:right w:val="none" w:sz="0" w:space="0" w:color="auto"/>
                  </w:divBdr>
                </w:div>
                <w:div w:id="2050718833">
                  <w:marLeft w:val="0"/>
                  <w:marRight w:val="0"/>
                  <w:marTop w:val="0"/>
                  <w:marBottom w:val="0"/>
                  <w:divBdr>
                    <w:top w:val="none" w:sz="0" w:space="0" w:color="auto"/>
                    <w:left w:val="none" w:sz="0" w:space="0" w:color="auto"/>
                    <w:bottom w:val="none" w:sz="0" w:space="0" w:color="auto"/>
                    <w:right w:val="none" w:sz="0" w:space="0" w:color="auto"/>
                  </w:divBdr>
                </w:div>
                <w:div w:id="1839342493">
                  <w:marLeft w:val="0"/>
                  <w:marRight w:val="0"/>
                  <w:marTop w:val="0"/>
                  <w:marBottom w:val="0"/>
                  <w:divBdr>
                    <w:top w:val="none" w:sz="0" w:space="0" w:color="auto"/>
                    <w:left w:val="none" w:sz="0" w:space="0" w:color="auto"/>
                    <w:bottom w:val="none" w:sz="0" w:space="0" w:color="auto"/>
                    <w:right w:val="none" w:sz="0" w:space="0" w:color="auto"/>
                  </w:divBdr>
                  <w:divsChild>
                    <w:div w:id="825052451">
                      <w:marLeft w:val="0"/>
                      <w:marRight w:val="0"/>
                      <w:marTop w:val="0"/>
                      <w:marBottom w:val="0"/>
                      <w:divBdr>
                        <w:top w:val="none" w:sz="0" w:space="0" w:color="auto"/>
                        <w:left w:val="none" w:sz="0" w:space="0" w:color="auto"/>
                        <w:bottom w:val="none" w:sz="0" w:space="0" w:color="auto"/>
                        <w:right w:val="none" w:sz="0" w:space="0" w:color="auto"/>
                      </w:divBdr>
                    </w:div>
                    <w:div w:id="1367635288">
                      <w:marLeft w:val="0"/>
                      <w:marRight w:val="0"/>
                      <w:marTop w:val="0"/>
                      <w:marBottom w:val="0"/>
                      <w:divBdr>
                        <w:top w:val="none" w:sz="0" w:space="0" w:color="auto"/>
                        <w:left w:val="none" w:sz="0" w:space="0" w:color="auto"/>
                        <w:bottom w:val="none" w:sz="0" w:space="0" w:color="auto"/>
                        <w:right w:val="none" w:sz="0" w:space="0" w:color="auto"/>
                      </w:divBdr>
                    </w:div>
                  </w:divsChild>
                </w:div>
                <w:div w:id="1473056523">
                  <w:marLeft w:val="0"/>
                  <w:marRight w:val="0"/>
                  <w:marTop w:val="0"/>
                  <w:marBottom w:val="0"/>
                  <w:divBdr>
                    <w:top w:val="none" w:sz="0" w:space="0" w:color="auto"/>
                    <w:left w:val="none" w:sz="0" w:space="0" w:color="auto"/>
                    <w:bottom w:val="none" w:sz="0" w:space="0" w:color="auto"/>
                    <w:right w:val="none" w:sz="0" w:space="0" w:color="auto"/>
                  </w:divBdr>
                </w:div>
                <w:div w:id="874587083">
                  <w:marLeft w:val="0"/>
                  <w:marRight w:val="0"/>
                  <w:marTop w:val="0"/>
                  <w:marBottom w:val="0"/>
                  <w:divBdr>
                    <w:top w:val="none" w:sz="0" w:space="0" w:color="auto"/>
                    <w:left w:val="none" w:sz="0" w:space="0" w:color="auto"/>
                    <w:bottom w:val="none" w:sz="0" w:space="0" w:color="auto"/>
                    <w:right w:val="none" w:sz="0" w:space="0" w:color="auto"/>
                  </w:divBdr>
                </w:div>
                <w:div w:id="929587771">
                  <w:marLeft w:val="0"/>
                  <w:marRight w:val="0"/>
                  <w:marTop w:val="0"/>
                  <w:marBottom w:val="0"/>
                  <w:divBdr>
                    <w:top w:val="none" w:sz="0" w:space="0" w:color="auto"/>
                    <w:left w:val="none" w:sz="0" w:space="0" w:color="auto"/>
                    <w:bottom w:val="none" w:sz="0" w:space="0" w:color="auto"/>
                    <w:right w:val="none" w:sz="0" w:space="0" w:color="auto"/>
                  </w:divBdr>
                </w:div>
                <w:div w:id="462816527">
                  <w:marLeft w:val="0"/>
                  <w:marRight w:val="0"/>
                  <w:marTop w:val="0"/>
                  <w:marBottom w:val="0"/>
                  <w:divBdr>
                    <w:top w:val="none" w:sz="0" w:space="0" w:color="auto"/>
                    <w:left w:val="none" w:sz="0" w:space="0" w:color="auto"/>
                    <w:bottom w:val="none" w:sz="0" w:space="0" w:color="auto"/>
                    <w:right w:val="none" w:sz="0" w:space="0" w:color="auto"/>
                  </w:divBdr>
                </w:div>
                <w:div w:id="538053871">
                  <w:marLeft w:val="0"/>
                  <w:marRight w:val="0"/>
                  <w:marTop w:val="0"/>
                  <w:marBottom w:val="0"/>
                  <w:divBdr>
                    <w:top w:val="none" w:sz="0" w:space="0" w:color="auto"/>
                    <w:left w:val="none" w:sz="0" w:space="0" w:color="auto"/>
                    <w:bottom w:val="none" w:sz="0" w:space="0" w:color="auto"/>
                    <w:right w:val="none" w:sz="0" w:space="0" w:color="auto"/>
                  </w:divBdr>
                </w:div>
              </w:divsChild>
            </w:div>
            <w:div w:id="1838884223">
              <w:marLeft w:val="0"/>
              <w:marRight w:val="0"/>
              <w:marTop w:val="0"/>
              <w:marBottom w:val="0"/>
              <w:divBdr>
                <w:top w:val="none" w:sz="0" w:space="0" w:color="auto"/>
                <w:left w:val="none" w:sz="0" w:space="0" w:color="auto"/>
                <w:bottom w:val="none" w:sz="0" w:space="0" w:color="auto"/>
                <w:right w:val="none" w:sz="0" w:space="0" w:color="auto"/>
              </w:divBdr>
              <w:divsChild>
                <w:div w:id="1272083837">
                  <w:marLeft w:val="0"/>
                  <w:marRight w:val="0"/>
                  <w:marTop w:val="0"/>
                  <w:marBottom w:val="0"/>
                  <w:divBdr>
                    <w:top w:val="none" w:sz="0" w:space="0" w:color="auto"/>
                    <w:left w:val="none" w:sz="0" w:space="0" w:color="auto"/>
                    <w:bottom w:val="none" w:sz="0" w:space="0" w:color="auto"/>
                    <w:right w:val="none" w:sz="0" w:space="0" w:color="auto"/>
                  </w:divBdr>
                </w:div>
                <w:div w:id="1803305512">
                  <w:marLeft w:val="0"/>
                  <w:marRight w:val="0"/>
                  <w:marTop w:val="0"/>
                  <w:marBottom w:val="0"/>
                  <w:divBdr>
                    <w:top w:val="none" w:sz="0" w:space="0" w:color="auto"/>
                    <w:left w:val="none" w:sz="0" w:space="0" w:color="auto"/>
                    <w:bottom w:val="none" w:sz="0" w:space="0" w:color="auto"/>
                    <w:right w:val="none" w:sz="0" w:space="0" w:color="auto"/>
                  </w:divBdr>
                </w:div>
                <w:div w:id="684869921">
                  <w:marLeft w:val="0"/>
                  <w:marRight w:val="0"/>
                  <w:marTop w:val="0"/>
                  <w:marBottom w:val="0"/>
                  <w:divBdr>
                    <w:top w:val="none" w:sz="0" w:space="0" w:color="auto"/>
                    <w:left w:val="none" w:sz="0" w:space="0" w:color="auto"/>
                    <w:bottom w:val="none" w:sz="0" w:space="0" w:color="auto"/>
                    <w:right w:val="none" w:sz="0" w:space="0" w:color="auto"/>
                  </w:divBdr>
                  <w:divsChild>
                    <w:div w:id="2062512836">
                      <w:marLeft w:val="0"/>
                      <w:marRight w:val="0"/>
                      <w:marTop w:val="0"/>
                      <w:marBottom w:val="0"/>
                      <w:divBdr>
                        <w:top w:val="none" w:sz="0" w:space="0" w:color="auto"/>
                        <w:left w:val="none" w:sz="0" w:space="0" w:color="auto"/>
                        <w:bottom w:val="none" w:sz="0" w:space="0" w:color="auto"/>
                        <w:right w:val="none" w:sz="0" w:space="0" w:color="auto"/>
                      </w:divBdr>
                    </w:div>
                    <w:div w:id="2063557010">
                      <w:marLeft w:val="0"/>
                      <w:marRight w:val="0"/>
                      <w:marTop w:val="0"/>
                      <w:marBottom w:val="0"/>
                      <w:divBdr>
                        <w:top w:val="none" w:sz="0" w:space="0" w:color="auto"/>
                        <w:left w:val="none" w:sz="0" w:space="0" w:color="auto"/>
                        <w:bottom w:val="none" w:sz="0" w:space="0" w:color="auto"/>
                        <w:right w:val="none" w:sz="0" w:space="0" w:color="auto"/>
                      </w:divBdr>
                    </w:div>
                    <w:div w:id="1333726055">
                      <w:marLeft w:val="0"/>
                      <w:marRight w:val="0"/>
                      <w:marTop w:val="0"/>
                      <w:marBottom w:val="0"/>
                      <w:divBdr>
                        <w:top w:val="none" w:sz="0" w:space="0" w:color="auto"/>
                        <w:left w:val="none" w:sz="0" w:space="0" w:color="auto"/>
                        <w:bottom w:val="none" w:sz="0" w:space="0" w:color="auto"/>
                        <w:right w:val="none" w:sz="0" w:space="0" w:color="auto"/>
                      </w:divBdr>
                    </w:div>
                    <w:div w:id="1926304100">
                      <w:marLeft w:val="0"/>
                      <w:marRight w:val="0"/>
                      <w:marTop w:val="0"/>
                      <w:marBottom w:val="0"/>
                      <w:divBdr>
                        <w:top w:val="none" w:sz="0" w:space="0" w:color="auto"/>
                        <w:left w:val="none" w:sz="0" w:space="0" w:color="auto"/>
                        <w:bottom w:val="none" w:sz="0" w:space="0" w:color="auto"/>
                        <w:right w:val="none" w:sz="0" w:space="0" w:color="auto"/>
                      </w:divBdr>
                    </w:div>
                  </w:divsChild>
                </w:div>
                <w:div w:id="592082471">
                  <w:marLeft w:val="0"/>
                  <w:marRight w:val="0"/>
                  <w:marTop w:val="0"/>
                  <w:marBottom w:val="0"/>
                  <w:divBdr>
                    <w:top w:val="none" w:sz="0" w:space="0" w:color="auto"/>
                    <w:left w:val="none" w:sz="0" w:space="0" w:color="auto"/>
                    <w:bottom w:val="none" w:sz="0" w:space="0" w:color="auto"/>
                    <w:right w:val="none" w:sz="0" w:space="0" w:color="auto"/>
                  </w:divBdr>
                </w:div>
                <w:div w:id="316081820">
                  <w:marLeft w:val="0"/>
                  <w:marRight w:val="0"/>
                  <w:marTop w:val="0"/>
                  <w:marBottom w:val="0"/>
                  <w:divBdr>
                    <w:top w:val="none" w:sz="0" w:space="0" w:color="auto"/>
                    <w:left w:val="none" w:sz="0" w:space="0" w:color="auto"/>
                    <w:bottom w:val="none" w:sz="0" w:space="0" w:color="auto"/>
                    <w:right w:val="none" w:sz="0" w:space="0" w:color="auto"/>
                  </w:divBdr>
                  <w:divsChild>
                    <w:div w:id="1706713192">
                      <w:marLeft w:val="0"/>
                      <w:marRight w:val="0"/>
                      <w:marTop w:val="0"/>
                      <w:marBottom w:val="0"/>
                      <w:divBdr>
                        <w:top w:val="none" w:sz="0" w:space="0" w:color="auto"/>
                        <w:left w:val="none" w:sz="0" w:space="0" w:color="auto"/>
                        <w:bottom w:val="none" w:sz="0" w:space="0" w:color="auto"/>
                        <w:right w:val="none" w:sz="0" w:space="0" w:color="auto"/>
                      </w:divBdr>
                    </w:div>
                    <w:div w:id="650644707">
                      <w:marLeft w:val="0"/>
                      <w:marRight w:val="0"/>
                      <w:marTop w:val="0"/>
                      <w:marBottom w:val="0"/>
                      <w:divBdr>
                        <w:top w:val="none" w:sz="0" w:space="0" w:color="auto"/>
                        <w:left w:val="none" w:sz="0" w:space="0" w:color="auto"/>
                        <w:bottom w:val="none" w:sz="0" w:space="0" w:color="auto"/>
                        <w:right w:val="none" w:sz="0" w:space="0" w:color="auto"/>
                      </w:divBdr>
                    </w:div>
                    <w:div w:id="1623342845">
                      <w:marLeft w:val="0"/>
                      <w:marRight w:val="0"/>
                      <w:marTop w:val="0"/>
                      <w:marBottom w:val="0"/>
                      <w:divBdr>
                        <w:top w:val="none" w:sz="0" w:space="0" w:color="auto"/>
                        <w:left w:val="none" w:sz="0" w:space="0" w:color="auto"/>
                        <w:bottom w:val="none" w:sz="0" w:space="0" w:color="auto"/>
                        <w:right w:val="none" w:sz="0" w:space="0" w:color="auto"/>
                      </w:divBdr>
                    </w:div>
                  </w:divsChild>
                </w:div>
                <w:div w:id="645472988">
                  <w:marLeft w:val="0"/>
                  <w:marRight w:val="0"/>
                  <w:marTop w:val="0"/>
                  <w:marBottom w:val="0"/>
                  <w:divBdr>
                    <w:top w:val="none" w:sz="0" w:space="0" w:color="auto"/>
                    <w:left w:val="none" w:sz="0" w:space="0" w:color="auto"/>
                    <w:bottom w:val="none" w:sz="0" w:space="0" w:color="auto"/>
                    <w:right w:val="none" w:sz="0" w:space="0" w:color="auto"/>
                  </w:divBdr>
                </w:div>
                <w:div w:id="1711026472">
                  <w:marLeft w:val="0"/>
                  <w:marRight w:val="0"/>
                  <w:marTop w:val="0"/>
                  <w:marBottom w:val="0"/>
                  <w:divBdr>
                    <w:top w:val="none" w:sz="0" w:space="0" w:color="auto"/>
                    <w:left w:val="none" w:sz="0" w:space="0" w:color="auto"/>
                    <w:bottom w:val="none" w:sz="0" w:space="0" w:color="auto"/>
                    <w:right w:val="none" w:sz="0" w:space="0" w:color="auto"/>
                  </w:divBdr>
                </w:div>
                <w:div w:id="1662197632">
                  <w:marLeft w:val="0"/>
                  <w:marRight w:val="0"/>
                  <w:marTop w:val="0"/>
                  <w:marBottom w:val="0"/>
                  <w:divBdr>
                    <w:top w:val="none" w:sz="0" w:space="0" w:color="auto"/>
                    <w:left w:val="none" w:sz="0" w:space="0" w:color="auto"/>
                    <w:bottom w:val="none" w:sz="0" w:space="0" w:color="auto"/>
                    <w:right w:val="none" w:sz="0" w:space="0" w:color="auto"/>
                  </w:divBdr>
                </w:div>
                <w:div w:id="173544271">
                  <w:marLeft w:val="0"/>
                  <w:marRight w:val="0"/>
                  <w:marTop w:val="0"/>
                  <w:marBottom w:val="0"/>
                  <w:divBdr>
                    <w:top w:val="none" w:sz="0" w:space="0" w:color="auto"/>
                    <w:left w:val="none" w:sz="0" w:space="0" w:color="auto"/>
                    <w:bottom w:val="none" w:sz="0" w:space="0" w:color="auto"/>
                    <w:right w:val="none" w:sz="0" w:space="0" w:color="auto"/>
                  </w:divBdr>
                </w:div>
                <w:div w:id="1217087466">
                  <w:marLeft w:val="0"/>
                  <w:marRight w:val="0"/>
                  <w:marTop w:val="0"/>
                  <w:marBottom w:val="0"/>
                  <w:divBdr>
                    <w:top w:val="none" w:sz="0" w:space="0" w:color="auto"/>
                    <w:left w:val="none" w:sz="0" w:space="0" w:color="auto"/>
                    <w:bottom w:val="none" w:sz="0" w:space="0" w:color="auto"/>
                    <w:right w:val="none" w:sz="0" w:space="0" w:color="auto"/>
                  </w:divBdr>
                </w:div>
                <w:div w:id="1895312951">
                  <w:marLeft w:val="0"/>
                  <w:marRight w:val="0"/>
                  <w:marTop w:val="0"/>
                  <w:marBottom w:val="0"/>
                  <w:divBdr>
                    <w:top w:val="none" w:sz="0" w:space="0" w:color="auto"/>
                    <w:left w:val="none" w:sz="0" w:space="0" w:color="auto"/>
                    <w:bottom w:val="none" w:sz="0" w:space="0" w:color="auto"/>
                    <w:right w:val="none" w:sz="0" w:space="0" w:color="auto"/>
                  </w:divBdr>
                </w:div>
                <w:div w:id="169760146">
                  <w:marLeft w:val="0"/>
                  <w:marRight w:val="0"/>
                  <w:marTop w:val="0"/>
                  <w:marBottom w:val="0"/>
                  <w:divBdr>
                    <w:top w:val="none" w:sz="0" w:space="0" w:color="auto"/>
                    <w:left w:val="none" w:sz="0" w:space="0" w:color="auto"/>
                    <w:bottom w:val="none" w:sz="0" w:space="0" w:color="auto"/>
                    <w:right w:val="none" w:sz="0" w:space="0" w:color="auto"/>
                  </w:divBdr>
                </w:div>
                <w:div w:id="1730497113">
                  <w:marLeft w:val="0"/>
                  <w:marRight w:val="0"/>
                  <w:marTop w:val="0"/>
                  <w:marBottom w:val="0"/>
                  <w:divBdr>
                    <w:top w:val="none" w:sz="0" w:space="0" w:color="auto"/>
                    <w:left w:val="none" w:sz="0" w:space="0" w:color="auto"/>
                    <w:bottom w:val="none" w:sz="0" w:space="0" w:color="auto"/>
                    <w:right w:val="none" w:sz="0" w:space="0" w:color="auto"/>
                  </w:divBdr>
                </w:div>
                <w:div w:id="1136919608">
                  <w:marLeft w:val="0"/>
                  <w:marRight w:val="0"/>
                  <w:marTop w:val="0"/>
                  <w:marBottom w:val="0"/>
                  <w:divBdr>
                    <w:top w:val="none" w:sz="0" w:space="0" w:color="auto"/>
                    <w:left w:val="none" w:sz="0" w:space="0" w:color="auto"/>
                    <w:bottom w:val="none" w:sz="0" w:space="0" w:color="auto"/>
                    <w:right w:val="none" w:sz="0" w:space="0" w:color="auto"/>
                  </w:divBdr>
                </w:div>
              </w:divsChild>
            </w:div>
            <w:div w:id="1430078339">
              <w:marLeft w:val="0"/>
              <w:marRight w:val="0"/>
              <w:marTop w:val="0"/>
              <w:marBottom w:val="0"/>
              <w:divBdr>
                <w:top w:val="none" w:sz="0" w:space="0" w:color="auto"/>
                <w:left w:val="none" w:sz="0" w:space="0" w:color="auto"/>
                <w:bottom w:val="none" w:sz="0" w:space="0" w:color="auto"/>
                <w:right w:val="none" w:sz="0" w:space="0" w:color="auto"/>
              </w:divBdr>
              <w:divsChild>
                <w:div w:id="214631729">
                  <w:marLeft w:val="0"/>
                  <w:marRight w:val="0"/>
                  <w:marTop w:val="0"/>
                  <w:marBottom w:val="0"/>
                  <w:divBdr>
                    <w:top w:val="none" w:sz="0" w:space="0" w:color="auto"/>
                    <w:left w:val="none" w:sz="0" w:space="0" w:color="auto"/>
                    <w:bottom w:val="none" w:sz="0" w:space="0" w:color="auto"/>
                    <w:right w:val="none" w:sz="0" w:space="0" w:color="auto"/>
                  </w:divBdr>
                </w:div>
                <w:div w:id="1057624930">
                  <w:marLeft w:val="0"/>
                  <w:marRight w:val="0"/>
                  <w:marTop w:val="0"/>
                  <w:marBottom w:val="0"/>
                  <w:divBdr>
                    <w:top w:val="none" w:sz="0" w:space="0" w:color="auto"/>
                    <w:left w:val="none" w:sz="0" w:space="0" w:color="auto"/>
                    <w:bottom w:val="none" w:sz="0" w:space="0" w:color="auto"/>
                    <w:right w:val="none" w:sz="0" w:space="0" w:color="auto"/>
                  </w:divBdr>
                </w:div>
                <w:div w:id="390811859">
                  <w:marLeft w:val="0"/>
                  <w:marRight w:val="0"/>
                  <w:marTop w:val="0"/>
                  <w:marBottom w:val="0"/>
                  <w:divBdr>
                    <w:top w:val="none" w:sz="0" w:space="0" w:color="auto"/>
                    <w:left w:val="none" w:sz="0" w:space="0" w:color="auto"/>
                    <w:bottom w:val="none" w:sz="0" w:space="0" w:color="auto"/>
                    <w:right w:val="none" w:sz="0" w:space="0" w:color="auto"/>
                  </w:divBdr>
                </w:div>
              </w:divsChild>
            </w:div>
            <w:div w:id="1794638847">
              <w:marLeft w:val="0"/>
              <w:marRight w:val="0"/>
              <w:marTop w:val="0"/>
              <w:marBottom w:val="0"/>
              <w:divBdr>
                <w:top w:val="none" w:sz="0" w:space="0" w:color="auto"/>
                <w:left w:val="none" w:sz="0" w:space="0" w:color="auto"/>
                <w:bottom w:val="none" w:sz="0" w:space="0" w:color="auto"/>
                <w:right w:val="none" w:sz="0" w:space="0" w:color="auto"/>
              </w:divBdr>
              <w:divsChild>
                <w:div w:id="271935662">
                  <w:marLeft w:val="0"/>
                  <w:marRight w:val="0"/>
                  <w:marTop w:val="0"/>
                  <w:marBottom w:val="0"/>
                  <w:divBdr>
                    <w:top w:val="none" w:sz="0" w:space="0" w:color="auto"/>
                    <w:left w:val="none" w:sz="0" w:space="0" w:color="auto"/>
                    <w:bottom w:val="none" w:sz="0" w:space="0" w:color="auto"/>
                    <w:right w:val="none" w:sz="0" w:space="0" w:color="auto"/>
                  </w:divBdr>
                </w:div>
                <w:div w:id="290940770">
                  <w:marLeft w:val="0"/>
                  <w:marRight w:val="0"/>
                  <w:marTop w:val="0"/>
                  <w:marBottom w:val="0"/>
                  <w:divBdr>
                    <w:top w:val="none" w:sz="0" w:space="0" w:color="auto"/>
                    <w:left w:val="none" w:sz="0" w:space="0" w:color="auto"/>
                    <w:bottom w:val="none" w:sz="0" w:space="0" w:color="auto"/>
                    <w:right w:val="none" w:sz="0" w:space="0" w:color="auto"/>
                  </w:divBdr>
                </w:div>
                <w:div w:id="1084033224">
                  <w:marLeft w:val="0"/>
                  <w:marRight w:val="0"/>
                  <w:marTop w:val="0"/>
                  <w:marBottom w:val="0"/>
                  <w:divBdr>
                    <w:top w:val="none" w:sz="0" w:space="0" w:color="auto"/>
                    <w:left w:val="none" w:sz="0" w:space="0" w:color="auto"/>
                    <w:bottom w:val="none" w:sz="0" w:space="0" w:color="auto"/>
                    <w:right w:val="none" w:sz="0" w:space="0" w:color="auto"/>
                  </w:divBdr>
                </w:div>
                <w:div w:id="19010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61824569">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l-avocat.com/la-responsabilite-pour-faute-des-organismes-sociaux/" TargetMode="External"/><Relationship Id="rId13" Type="http://schemas.openxmlformats.org/officeDocument/2006/relationships/hyperlink" Target="javascript:Redirection('3632083')" TargetMode="External"/><Relationship Id="rId18" Type="http://schemas.openxmlformats.org/officeDocument/2006/relationships/hyperlink" Target="javascript:Redirection('3547619')" TargetMode="External"/><Relationship Id="rId26" Type="http://schemas.openxmlformats.org/officeDocument/2006/relationships/hyperlink" Target="javascript:Redirection('2887664')"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avascript:Redirection('2869589')" TargetMode="External"/><Relationship Id="rId34" Type="http://schemas.openxmlformats.org/officeDocument/2006/relationships/hyperlink" Target="javascript:Redirection('1510520986')"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Redirection('2813993')" TargetMode="External"/><Relationship Id="rId17" Type="http://schemas.openxmlformats.org/officeDocument/2006/relationships/hyperlink" Target="javascript:Redirection('2933087')" TargetMode="External"/><Relationship Id="rId25" Type="http://schemas.openxmlformats.org/officeDocument/2006/relationships/hyperlink" Target="javascript:Redirection('2858212')" TargetMode="External"/><Relationship Id="rId33" Type="http://schemas.openxmlformats.org/officeDocument/2006/relationships/hyperlink" Target="javascript:Redirection('2926578')"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Redirection('2882530')" TargetMode="External"/><Relationship Id="rId20" Type="http://schemas.openxmlformats.org/officeDocument/2006/relationships/hyperlink" Target="javascript:Redirection('2867754')" TargetMode="External"/><Relationship Id="rId29" Type="http://schemas.openxmlformats.org/officeDocument/2006/relationships/hyperlink" Target="javascript:Redirection('293875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Redirection('945531')" TargetMode="External"/><Relationship Id="rId24" Type="http://schemas.openxmlformats.org/officeDocument/2006/relationships/hyperlink" Target="javascript:Redirection('2938160')" TargetMode="External"/><Relationship Id="rId32" Type="http://schemas.openxmlformats.org/officeDocument/2006/relationships/hyperlink" Target="javascript:Redirection('5252158')" TargetMode="External"/><Relationship Id="rId37" Type="http://schemas.openxmlformats.org/officeDocument/2006/relationships/hyperlink" Target="javascript:Redirection('1523761486')"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Redirection('2921219')" TargetMode="External"/><Relationship Id="rId23" Type="http://schemas.openxmlformats.org/officeDocument/2006/relationships/hyperlink" Target="javascript:Redirection('2938756')" TargetMode="External"/><Relationship Id="rId28" Type="http://schemas.openxmlformats.org/officeDocument/2006/relationships/hyperlink" Target="javascript:Redirection('2951342')" TargetMode="External"/><Relationship Id="rId36" Type="http://schemas.openxmlformats.org/officeDocument/2006/relationships/hyperlink" Target="javascript:Redirection('1523809158')" TargetMode="External"/><Relationship Id="rId10" Type="http://schemas.openxmlformats.org/officeDocument/2006/relationships/hyperlink" Target="javascript:Redirection('2840144')" TargetMode="External"/><Relationship Id="rId19" Type="http://schemas.openxmlformats.org/officeDocument/2006/relationships/hyperlink" Target="javascript:Redirection('2856863')" TargetMode="External"/><Relationship Id="rId31" Type="http://schemas.openxmlformats.org/officeDocument/2006/relationships/hyperlink" Target="javascript:Redirection('28769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k-rh.fr/preview/BeDhHlCfHnEiFjDgDhKp/edition/lps/lamy_protection_sociale_2013/2973_responsabilite_civile_des_organismes_de_securite_sociale" TargetMode="External"/><Relationship Id="rId14" Type="http://schemas.openxmlformats.org/officeDocument/2006/relationships/hyperlink" Target="javascript:Redirection('2856035')" TargetMode="External"/><Relationship Id="rId22" Type="http://schemas.openxmlformats.org/officeDocument/2006/relationships/hyperlink" Target="javascript:Redirection('2926035')" TargetMode="External"/><Relationship Id="rId27" Type="http://schemas.openxmlformats.org/officeDocument/2006/relationships/hyperlink" Target="javascript:Redirection('2939213')" TargetMode="External"/><Relationship Id="rId30" Type="http://schemas.openxmlformats.org/officeDocument/2006/relationships/hyperlink" Target="javascript:Redirection('4815018')" TargetMode="External"/><Relationship Id="rId35" Type="http://schemas.openxmlformats.org/officeDocument/2006/relationships/hyperlink" Target="javascript:Redirection('1523761486')" TargetMode="External"/><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_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EDA8-DA29-47E8-A6D7-F293EB25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modele_4</Template>
  <TotalTime>5</TotalTime>
  <Pages>6</Pages>
  <Words>3794</Words>
  <Characters>20867</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24612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10</cp:revision>
  <cp:lastPrinted>2018-11-09T18:14:00Z</cp:lastPrinted>
  <dcterms:created xsi:type="dcterms:W3CDTF">2018-11-09T14:47:00Z</dcterms:created>
  <dcterms:modified xsi:type="dcterms:W3CDTF">2021-04-03T12:31:00Z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